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E70DD3" w:rsidRDefault="00E70DD3" w:rsidP="00E70DD3">
      <w:pPr>
        <w:shd w:val="clear" w:color="auto" w:fill="D9D9D9" w:themeFill="background1" w:themeFillShade="D9"/>
        <w:spacing w:after="120" w:line="276" w:lineRule="auto"/>
        <w:jc w:val="center"/>
        <w:rPr>
          <w:rFonts w:ascii="Verdana" w:hAnsi="Verdana"/>
          <w:i/>
          <w:sz w:val="36"/>
          <w:szCs w:val="36"/>
        </w:rPr>
      </w:pPr>
      <w:r w:rsidRPr="00E70DD3">
        <w:rPr>
          <w:rFonts w:ascii="Verdana" w:hAnsi="Verdana"/>
          <w:i/>
          <w:sz w:val="36"/>
          <w:szCs w:val="36"/>
        </w:rPr>
        <w:t>ESCLARECIMENTO</w:t>
      </w:r>
    </w:p>
    <w:p w:rsidR="00364E3D" w:rsidRPr="00E70DD3" w:rsidRDefault="00364E3D" w:rsidP="00364E3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“EDITAL DE CONCORRÊNCIA N° 002/2020”.</w:t>
      </w:r>
    </w:p>
    <w:p w:rsidR="00364E3D" w:rsidRPr="00E70DD3" w:rsidRDefault="00364E3D" w:rsidP="00364E3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“PROCESSO LICITATÓRIO Nº 1228/2020”.</w:t>
      </w:r>
    </w:p>
    <w:p w:rsidR="00364E3D" w:rsidRPr="00E70DD3" w:rsidRDefault="00364E3D" w:rsidP="00364E3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“DE:</w:t>
      </w:r>
      <w:r w:rsidRPr="00E70DD3">
        <w:rPr>
          <w:rFonts w:ascii="Verdana" w:eastAsia="Times New Roman" w:hAnsi="Verdana" w:cs="Times New Roman"/>
          <w:b/>
          <w:noProof/>
          <w:sz w:val="18"/>
          <w:szCs w:val="18"/>
          <w:lang w:eastAsia="pt-BR"/>
        </w:rPr>
        <w:t xml:space="preserve"> 11 de MAIO de 2020</w:t>
      </w: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”</w:t>
      </w:r>
    </w:p>
    <w:p w:rsidR="0088437E" w:rsidRPr="00E70DD3" w:rsidRDefault="0088437E" w:rsidP="000A4E2D">
      <w:pPr>
        <w:spacing w:after="120" w:line="276" w:lineRule="auto"/>
        <w:jc w:val="right"/>
        <w:rPr>
          <w:rFonts w:ascii="Calibri" w:eastAsia="Times New Roman" w:hAnsi="Calibri" w:cs="Calibri"/>
          <w:sz w:val="18"/>
          <w:szCs w:val="18"/>
          <w:lang w:eastAsia="pt-BR"/>
        </w:rPr>
      </w:pPr>
    </w:p>
    <w:p w:rsidR="002A1343" w:rsidRDefault="002A1343" w:rsidP="000A4E2D">
      <w:pPr>
        <w:spacing w:after="120" w:line="276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C96153" w:rsidRPr="00E70DD3" w:rsidRDefault="00C96153" w:rsidP="000A4E2D">
      <w:pPr>
        <w:spacing w:after="120" w:line="276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Araraquara, </w:t>
      </w:r>
      <w:r w:rsidR="006A5C5A">
        <w:rPr>
          <w:rFonts w:ascii="Verdana" w:eastAsia="Times New Roman" w:hAnsi="Verdana" w:cs="Calibri"/>
          <w:sz w:val="18"/>
          <w:szCs w:val="18"/>
          <w:lang w:eastAsia="pt-BR"/>
        </w:rPr>
        <w:t>28</w:t>
      </w:r>
      <w:r w:rsidR="003F3A87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de </w:t>
      </w:r>
      <w:proofErr w:type="gramStart"/>
      <w:r w:rsidR="00364E3D" w:rsidRPr="00E70DD3">
        <w:rPr>
          <w:rFonts w:ascii="Verdana" w:eastAsia="Times New Roman" w:hAnsi="Verdana" w:cs="Calibri"/>
          <w:sz w:val="18"/>
          <w:szCs w:val="18"/>
          <w:lang w:eastAsia="pt-BR"/>
        </w:rPr>
        <w:t>MAIO</w:t>
      </w:r>
      <w:proofErr w:type="gramEnd"/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de 20</w:t>
      </w:r>
      <w:r w:rsidR="003F3A87" w:rsidRPr="00E70DD3">
        <w:rPr>
          <w:rFonts w:ascii="Verdana" w:eastAsia="Times New Roman" w:hAnsi="Verdana" w:cs="Calibri"/>
          <w:sz w:val="18"/>
          <w:szCs w:val="18"/>
          <w:lang w:eastAsia="pt-BR"/>
        </w:rPr>
        <w:t>20</w:t>
      </w: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>.</w:t>
      </w:r>
    </w:p>
    <w:p w:rsidR="006A5C5A" w:rsidRDefault="006A5C5A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0A4E2D" w:rsidRDefault="002C4A19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>Vimos, através deste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, em relação </w:t>
      </w:r>
      <w:r w:rsidR="00D73432" w:rsidRPr="00E70DD3">
        <w:rPr>
          <w:rFonts w:ascii="Verdana" w:eastAsia="Times New Roman" w:hAnsi="Verdana" w:cs="Calibri"/>
          <w:sz w:val="18"/>
          <w:szCs w:val="18"/>
          <w:lang w:eastAsia="pt-BR"/>
        </w:rPr>
        <w:t>à Concorrência Pública nº 002/2020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, cujo objeto é </w:t>
      </w:r>
      <w:r w:rsidR="00364E3D" w:rsidRPr="00E70DD3">
        <w:rPr>
          <w:rFonts w:ascii="Verdana" w:hAnsi="Verdana" w:cs="Arial"/>
          <w:b/>
          <w:sz w:val="18"/>
          <w:szCs w:val="18"/>
        </w:rPr>
        <w:t>CONTRATAÇÃO DE EMPRESA ESPECIALIZADA PARA EXECUÇÃO DE OBRA DE SUBSTITUIÇÃO E EFICIENTIZAÇÃO DE 3.333 LUMINÁRIAS PARA TECNOLOGIA A LED, EM VÁRIOS LOCAIS, NA REGIÃO URBANA DO MUNICÍPIO DE ARARAQUARA, CONFORME ANEXOS I e VII</w:t>
      </w:r>
      <w:r w:rsidR="00C656AE" w:rsidRPr="00E70DD3">
        <w:rPr>
          <w:rFonts w:ascii="Verdana" w:hAnsi="Verdana"/>
          <w:b/>
          <w:sz w:val="18"/>
          <w:szCs w:val="18"/>
        </w:rPr>
        <w:t>,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="006A5C5A">
        <w:rPr>
          <w:rFonts w:ascii="Verdana" w:eastAsia="Times New Roman" w:hAnsi="Verdana" w:cs="Calibri"/>
          <w:sz w:val="18"/>
          <w:szCs w:val="18"/>
          <w:lang w:eastAsia="pt-BR"/>
        </w:rPr>
        <w:t>tendo em vista solicitações</w:t>
      </w:r>
      <w:r w:rsid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da</w:t>
      </w:r>
      <w:r w:rsidR="006A5C5A">
        <w:rPr>
          <w:rFonts w:ascii="Verdana" w:eastAsia="Times New Roman" w:hAnsi="Verdana" w:cs="Calibri"/>
          <w:sz w:val="18"/>
          <w:szCs w:val="18"/>
          <w:lang w:eastAsia="pt-BR"/>
        </w:rPr>
        <w:t>s</w:t>
      </w:r>
      <w:r w:rsid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empresa</w:t>
      </w:r>
      <w:r w:rsidR="006A5C5A">
        <w:rPr>
          <w:rFonts w:ascii="Verdana" w:eastAsia="Times New Roman" w:hAnsi="Verdana" w:cs="Calibri"/>
          <w:sz w:val="18"/>
          <w:szCs w:val="18"/>
          <w:lang w:eastAsia="pt-BR"/>
        </w:rPr>
        <w:t>s</w:t>
      </w:r>
      <w:r w:rsid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="006A5C5A" w:rsidRPr="00E70DD3">
        <w:rPr>
          <w:rFonts w:ascii="Verdana" w:eastAsia="Times New Roman" w:hAnsi="Verdana" w:cs="Calibri"/>
          <w:sz w:val="18"/>
          <w:szCs w:val="18"/>
          <w:lang w:eastAsia="pt-BR"/>
        </w:rPr>
        <w:t>ELETRO ZAGONEL LTDA</w:t>
      </w:r>
      <w:r w:rsidR="006A5C5A">
        <w:rPr>
          <w:rFonts w:ascii="Verdana" w:eastAsia="Times New Roman" w:hAnsi="Verdana" w:cs="Calibri"/>
          <w:sz w:val="18"/>
          <w:szCs w:val="18"/>
          <w:lang w:eastAsia="pt-BR"/>
        </w:rPr>
        <w:t xml:space="preserve"> e </w:t>
      </w:r>
      <w:r w:rsidR="006A5C5A">
        <w:t>SOLAR MATERIAIS E CONSTRUÇÕES ELÉTRICAS EPP</w:t>
      </w:r>
      <w:r w:rsidR="00E70DD3">
        <w:rPr>
          <w:rFonts w:ascii="Verdana" w:eastAsia="Times New Roman" w:hAnsi="Verdana" w:cs="Calibri"/>
          <w:sz w:val="18"/>
          <w:szCs w:val="18"/>
          <w:lang w:eastAsia="pt-BR"/>
        </w:rPr>
        <w:t>, esclarecer o que segue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>:</w:t>
      </w:r>
    </w:p>
    <w:p w:rsidR="006A5C5A" w:rsidRDefault="006A5C5A" w:rsidP="00E70DD3">
      <w:pPr>
        <w:spacing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E70DD3" w:rsidRPr="006A5C5A" w:rsidRDefault="00E70DD3" w:rsidP="00E70DD3">
      <w:pPr>
        <w:spacing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b/>
          <w:sz w:val="18"/>
          <w:szCs w:val="18"/>
          <w:lang w:eastAsia="pt-BR"/>
        </w:rPr>
        <w:t>QUESTÕES</w:t>
      </w:r>
      <w:r w:rsidR="006A5C5A">
        <w:rPr>
          <w:rFonts w:ascii="Verdana" w:eastAsia="Times New Roman" w:hAnsi="Verdana" w:cs="Calibri"/>
          <w:b/>
          <w:sz w:val="18"/>
          <w:szCs w:val="18"/>
          <w:lang w:eastAsia="pt-BR"/>
        </w:rPr>
        <w:t xml:space="preserve"> -</w:t>
      </w:r>
      <w:r w:rsidR="006A5C5A" w:rsidRPr="006A5C5A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="006A5C5A" w:rsidRPr="006A5C5A">
        <w:rPr>
          <w:rFonts w:ascii="Verdana" w:eastAsia="Times New Roman" w:hAnsi="Verdana" w:cs="Calibri"/>
          <w:b/>
          <w:sz w:val="18"/>
          <w:szCs w:val="18"/>
          <w:lang w:eastAsia="pt-BR"/>
        </w:rPr>
        <w:t>ELETRO ZAGONEL LTDA</w:t>
      </w:r>
      <w:r w:rsidRPr="006A5C5A">
        <w:rPr>
          <w:rFonts w:ascii="Verdana" w:eastAsia="Times New Roman" w:hAnsi="Verdana" w:cs="Calibri"/>
          <w:b/>
          <w:sz w:val="18"/>
          <w:szCs w:val="18"/>
          <w:lang w:eastAsia="pt-BR"/>
        </w:rPr>
        <w:t>:</w:t>
      </w:r>
    </w:p>
    <w:p w:rsidR="00E70DD3" w:rsidRPr="00E70DD3" w:rsidRDefault="00E70DD3" w:rsidP="00E70DD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t-BR"/>
        </w:rPr>
        <w:t xml:space="preserve">1 - </w:t>
      </w:r>
      <w:r w:rsidRPr="00E70DD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t-BR"/>
        </w:rPr>
        <w:t>LUMINÁRIA LED</w:t>
      </w:r>
      <w:r w:rsidRPr="00E70DD3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 </w:t>
      </w:r>
      <w:r w:rsidRPr="00E70DD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t-BR"/>
        </w:rPr>
        <w:t xml:space="preserve">RETANGULAR: </w:t>
      </w:r>
      <w:r w:rsidRPr="00E70DD3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Referida </w:t>
      </w:r>
      <w:r w:rsidRPr="00E70DD3">
        <w:rPr>
          <w:rFonts w:ascii="Verdana" w:eastAsia="Times New Roman" w:hAnsi="Verdana" w:cs="Arial"/>
          <w:sz w:val="18"/>
          <w:szCs w:val="18"/>
          <w:lang w:eastAsia="pt-BR"/>
        </w:rPr>
        <w:t>especificação se faz totalmente restritiva, ao passo que</w:t>
      </w:r>
      <w:r w:rsidRPr="00E70DD3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 a descrição “retangular’ se faz de forma restritiva, eis que há outros formatos de carcaça de luminárias de LED existentes no mercado e registrados junto ao Inmetro, tais como o formato em pétala, oval e que possuem a </w:t>
      </w:r>
      <w:r w:rsidRPr="00E70DD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t-BR"/>
        </w:rPr>
        <w:t>mesma qualidade e eficiência.</w:t>
      </w:r>
    </w:p>
    <w:p w:rsidR="00E70DD3" w:rsidRPr="00E70DD3" w:rsidRDefault="00E70DD3" w:rsidP="00E70DD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t-BR"/>
        </w:rPr>
        <w:t> </w:t>
      </w:r>
    </w:p>
    <w:p w:rsidR="00E70DD3" w:rsidRPr="00E70DD3" w:rsidRDefault="00E70DD3" w:rsidP="00E70DD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Arial"/>
          <w:bCs/>
          <w:color w:val="000000"/>
          <w:sz w:val="18"/>
          <w:szCs w:val="18"/>
          <w:lang w:eastAsia="pt-BR"/>
        </w:rPr>
        <w:t xml:space="preserve">Desta forma, requer-se esclarecimento, acerca da aceitabilidade </w:t>
      </w:r>
      <w:r w:rsidR="002A1343" w:rsidRPr="00E70DD3">
        <w:rPr>
          <w:rFonts w:ascii="Verdana" w:eastAsia="Times New Roman" w:hAnsi="Verdana" w:cs="Arial"/>
          <w:bCs/>
          <w:color w:val="000000"/>
          <w:sz w:val="18"/>
          <w:szCs w:val="18"/>
          <w:lang w:eastAsia="pt-BR"/>
        </w:rPr>
        <w:t>das luminárias públicas</w:t>
      </w:r>
      <w:r w:rsidRPr="00E70DD3">
        <w:rPr>
          <w:rFonts w:ascii="Verdana" w:eastAsia="Times New Roman" w:hAnsi="Verdana" w:cs="Arial"/>
          <w:bCs/>
          <w:color w:val="000000"/>
          <w:sz w:val="18"/>
          <w:szCs w:val="18"/>
          <w:lang w:eastAsia="pt-BR"/>
        </w:rPr>
        <w:t xml:space="preserve"> de LED, que não obtenham o formato retangular, haja vista que esta característica é exclusiva e peculiar à algumas marcas, o que cerceia a participação de grande parte dos licitantes e viola aos Princípios da Competitividade, ampla concorrência, proposta mais vantajosa, entre outros.</w:t>
      </w:r>
    </w:p>
    <w:p w:rsidR="00E70DD3" w:rsidRPr="00E70DD3" w:rsidRDefault="00E70DD3" w:rsidP="00E70DD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t-BR"/>
        </w:rPr>
        <w:t> </w:t>
      </w:r>
    </w:p>
    <w:p w:rsidR="00E70DD3" w:rsidRPr="00E70DD3" w:rsidRDefault="00E70DD3" w:rsidP="00E70DD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t-BR"/>
        </w:rPr>
        <w:t> </w:t>
      </w:r>
    </w:p>
    <w:p w:rsidR="00E70DD3" w:rsidRPr="00E70DD3" w:rsidRDefault="00E70DD3" w:rsidP="00E70DD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t-BR"/>
        </w:rPr>
        <w:t xml:space="preserve">2 - </w:t>
      </w:r>
      <w:r w:rsidRPr="00E70DD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t-BR"/>
        </w:rPr>
        <w:t>DO ACERVO TÉCNICO E ATESTADO DE QUALIFICAÇÃO OPERACIONAL</w:t>
      </w:r>
      <w:r w:rsidRPr="00E70DD3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: O ato convocatório menciona a solicitação do acervo técnico e do atestado de qualificação profissional.</w:t>
      </w:r>
    </w:p>
    <w:p w:rsidR="00E70DD3" w:rsidRDefault="00E70DD3" w:rsidP="00E70DD3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  <w:r w:rsidRPr="00E70DD3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                                                 </w:t>
      </w:r>
    </w:p>
    <w:p w:rsidR="00E70DD3" w:rsidRPr="00E70DD3" w:rsidRDefault="00E70DD3" w:rsidP="00E70DD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No entanto, como sabido, o acervo técnico visa a demonstração da clara execução dos serviços realizados por profissional especializado, habilitado e com experiência na execução de objeto igual ou semelhante.</w:t>
      </w:r>
    </w:p>
    <w:p w:rsidR="00E70DD3" w:rsidRPr="00E70DD3" w:rsidRDefault="00E70DD3" w:rsidP="00E70DD3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 </w:t>
      </w:r>
    </w:p>
    <w:p w:rsidR="00E70DD3" w:rsidRPr="00E70DD3" w:rsidRDefault="00E70DD3" w:rsidP="00E70DD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Sendo assim, para a Administração, o que é fundamental é que a empresa vencedora do certame, detenha em seu quadro técnico, o profissional com especializada, habilitado e com experiência que estará efeti</w:t>
      </w:r>
      <w:r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vamente em campo, acompanhando </w:t>
      </w:r>
      <w:r w:rsidRPr="00E70DD3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e coordenando o serviço.</w:t>
      </w:r>
    </w:p>
    <w:p w:rsidR="00E70DD3" w:rsidRDefault="00E70DD3" w:rsidP="00E70DD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                                                </w:t>
      </w:r>
    </w:p>
    <w:p w:rsidR="00E70DD3" w:rsidRPr="00E70DD3" w:rsidRDefault="00E70DD3" w:rsidP="00E70DD3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 Por esta razão, se mostra dispensável a demonstração de qualificação operacional da empresa, quando já tem-se demonstrado o acervo técnico do profissional.</w:t>
      </w:r>
    </w:p>
    <w:p w:rsidR="003F3A87" w:rsidRPr="00E70DD3" w:rsidRDefault="003F3A87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8612B4" w:rsidRDefault="006A5C5A" w:rsidP="006A5C5A">
      <w:pPr>
        <w:spacing w:after="120" w:line="276" w:lineRule="auto"/>
        <w:jc w:val="both"/>
        <w:rPr>
          <w:b/>
        </w:rPr>
      </w:pPr>
      <w:proofErr w:type="gramStart"/>
      <w:r w:rsidRPr="006A5C5A">
        <w:rPr>
          <w:rFonts w:ascii="Verdana" w:eastAsia="Times New Roman" w:hAnsi="Verdana" w:cs="Calibri"/>
          <w:b/>
          <w:sz w:val="18"/>
          <w:szCs w:val="18"/>
          <w:lang w:eastAsia="pt-BR"/>
        </w:rPr>
        <w:t>QUESTÕES  -</w:t>
      </w:r>
      <w:proofErr w:type="gramEnd"/>
      <w:r w:rsidRPr="006A5C5A">
        <w:rPr>
          <w:rFonts w:ascii="Verdana" w:eastAsia="Times New Roman" w:hAnsi="Verdana" w:cs="Calibri"/>
          <w:b/>
          <w:sz w:val="18"/>
          <w:szCs w:val="18"/>
          <w:lang w:eastAsia="pt-BR"/>
        </w:rPr>
        <w:t xml:space="preserve"> </w:t>
      </w:r>
      <w:r w:rsidRPr="006A5C5A">
        <w:rPr>
          <w:b/>
        </w:rPr>
        <w:t>SOLAR MATERIAIS E CONSTRUÇÕES ELÉTRICAS EPP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Se consideramos a ordem do projeto técnico das luminárias, da mesma maneira da planilha de preço, veremos que: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6A5C5A">
        <w:rPr>
          <w:rFonts w:ascii="Verdana" w:hAnsi="Verdana"/>
          <w:b/>
          <w:sz w:val="18"/>
          <w:szCs w:val="18"/>
        </w:rPr>
        <w:t>item</w:t>
      </w:r>
      <w:proofErr w:type="gramEnd"/>
      <w:r w:rsidRPr="006A5C5A">
        <w:rPr>
          <w:rFonts w:ascii="Verdana" w:hAnsi="Verdana"/>
          <w:b/>
          <w:sz w:val="18"/>
          <w:szCs w:val="18"/>
        </w:rPr>
        <w:t xml:space="preserve"> 3.01- seria de  200w 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6A5C5A">
        <w:rPr>
          <w:rFonts w:ascii="Verdana" w:hAnsi="Verdana"/>
          <w:b/>
          <w:sz w:val="18"/>
          <w:szCs w:val="18"/>
        </w:rPr>
        <w:lastRenderedPageBreak/>
        <w:t> </w:t>
      </w:r>
      <w:proofErr w:type="gramStart"/>
      <w:r w:rsidRPr="006A5C5A">
        <w:rPr>
          <w:rFonts w:ascii="Verdana" w:hAnsi="Verdana"/>
          <w:b/>
          <w:sz w:val="18"/>
          <w:szCs w:val="18"/>
        </w:rPr>
        <w:t>item</w:t>
      </w:r>
      <w:proofErr w:type="gramEnd"/>
      <w:r w:rsidRPr="006A5C5A">
        <w:rPr>
          <w:rFonts w:ascii="Verdana" w:hAnsi="Verdana"/>
          <w:b/>
          <w:sz w:val="18"/>
          <w:szCs w:val="18"/>
        </w:rPr>
        <w:t xml:space="preserve"> 3.02- seria de  120w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6A5C5A">
        <w:rPr>
          <w:rFonts w:ascii="Verdana" w:hAnsi="Verdana"/>
          <w:b/>
          <w:sz w:val="18"/>
          <w:szCs w:val="18"/>
        </w:rPr>
        <w:t> </w:t>
      </w:r>
      <w:proofErr w:type="gramStart"/>
      <w:r w:rsidRPr="006A5C5A">
        <w:rPr>
          <w:rFonts w:ascii="Verdana" w:hAnsi="Verdana"/>
          <w:b/>
          <w:sz w:val="18"/>
          <w:szCs w:val="18"/>
        </w:rPr>
        <w:t>item</w:t>
      </w:r>
      <w:proofErr w:type="gramEnd"/>
      <w:r w:rsidRPr="006A5C5A">
        <w:rPr>
          <w:rFonts w:ascii="Verdana" w:hAnsi="Verdana"/>
          <w:b/>
          <w:sz w:val="18"/>
          <w:szCs w:val="18"/>
        </w:rPr>
        <w:t xml:space="preserve"> 3.03- seria de  100w 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6A5C5A">
        <w:rPr>
          <w:rFonts w:ascii="Verdana" w:hAnsi="Verdana"/>
          <w:b/>
          <w:sz w:val="18"/>
          <w:szCs w:val="18"/>
        </w:rPr>
        <w:t> Então ficaria:</w:t>
      </w:r>
    </w:p>
    <w:tbl>
      <w:tblPr>
        <w:tblW w:w="951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93"/>
        <w:gridCol w:w="823"/>
        <w:gridCol w:w="3648"/>
        <w:gridCol w:w="715"/>
        <w:gridCol w:w="1040"/>
        <w:gridCol w:w="1492"/>
      </w:tblGrid>
      <w:tr w:rsidR="006A5C5A" w:rsidRPr="006A5C5A" w:rsidTr="002A1343">
        <w:trPr>
          <w:trHeight w:val="9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6A5C5A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41.11.703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CPOS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Luminária LED retangular para poste baixa </w:t>
            </w:r>
            <w:proofErr w:type="spellStart"/>
            <w:r w:rsidRPr="006A5C5A">
              <w:rPr>
                <w:rFonts w:ascii="Verdana" w:hAnsi="Verdana"/>
                <w:b/>
                <w:sz w:val="18"/>
                <w:szCs w:val="18"/>
              </w:rPr>
              <w:t>potencia</w:t>
            </w:r>
            <w:proofErr w:type="spellEnd"/>
            <w:r w:rsidRPr="006A5C5A">
              <w:rPr>
                <w:rFonts w:ascii="Verdana" w:hAnsi="Verdana"/>
                <w:b/>
                <w:sz w:val="18"/>
                <w:szCs w:val="18"/>
              </w:rPr>
              <w:t>, segundo memorial descritivo 200w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 w:rsidRPr="006A5C5A">
              <w:rPr>
                <w:rFonts w:ascii="Verdana" w:hAnsi="Verdana"/>
                <w:b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453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R$      970,10 </w:t>
            </w:r>
          </w:p>
        </w:tc>
      </w:tr>
      <w:tr w:rsidR="006A5C5A" w:rsidRPr="006A5C5A" w:rsidTr="002A1343">
        <w:trPr>
          <w:trHeight w:val="9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41.11.703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CPOS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Luminária LED retangular para poste média </w:t>
            </w:r>
            <w:proofErr w:type="spellStart"/>
            <w:r w:rsidRPr="006A5C5A">
              <w:rPr>
                <w:rFonts w:ascii="Verdana" w:hAnsi="Verdana"/>
                <w:b/>
                <w:sz w:val="18"/>
                <w:szCs w:val="18"/>
              </w:rPr>
              <w:t>potencia</w:t>
            </w:r>
            <w:proofErr w:type="spellEnd"/>
            <w:r w:rsidRPr="006A5C5A">
              <w:rPr>
                <w:rFonts w:ascii="Verdana" w:hAnsi="Verdana"/>
                <w:b/>
                <w:sz w:val="18"/>
                <w:szCs w:val="18"/>
              </w:rPr>
              <w:t>, segundo memorial descritivo 120w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 w:rsidRPr="006A5C5A">
              <w:rPr>
                <w:rFonts w:ascii="Verdana" w:hAnsi="Verdana"/>
                <w:b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630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R$   1.024,19 </w:t>
            </w:r>
          </w:p>
        </w:tc>
      </w:tr>
      <w:tr w:rsidR="006A5C5A" w:rsidRPr="006A5C5A" w:rsidTr="002A1343">
        <w:trPr>
          <w:trHeight w:val="8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41.11.703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CPOS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Luminária LED retangular para poste alta </w:t>
            </w:r>
            <w:proofErr w:type="spellStart"/>
            <w:r w:rsidRPr="006A5C5A">
              <w:rPr>
                <w:rFonts w:ascii="Verdana" w:hAnsi="Verdana"/>
                <w:b/>
                <w:sz w:val="18"/>
                <w:szCs w:val="18"/>
              </w:rPr>
              <w:t>potencia</w:t>
            </w:r>
            <w:proofErr w:type="spellEnd"/>
            <w:r w:rsidRPr="006A5C5A">
              <w:rPr>
                <w:rFonts w:ascii="Verdana" w:hAnsi="Verdana"/>
                <w:b/>
                <w:sz w:val="18"/>
                <w:szCs w:val="18"/>
              </w:rPr>
              <w:t>, segundo memorial descritivo 100w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 w:rsidRPr="006A5C5A">
              <w:rPr>
                <w:rFonts w:ascii="Verdana" w:hAnsi="Verdana"/>
                <w:b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2.250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R$   1.332,41 </w:t>
            </w:r>
          </w:p>
        </w:tc>
      </w:tr>
    </w:tbl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6A5C5A">
        <w:rPr>
          <w:rFonts w:ascii="Verdana" w:hAnsi="Verdana"/>
          <w:b/>
          <w:sz w:val="18"/>
          <w:szCs w:val="18"/>
        </w:rPr>
        <w:t> 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Notem que parece invertido, as luminárias de maior potência são as mais baratas, isso na quantidade solicitada daria um valor errôneo enorme.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 </w:t>
      </w:r>
      <w:r w:rsidRPr="006A5C5A">
        <w:rPr>
          <w:rFonts w:ascii="Verdana" w:hAnsi="Verdana"/>
          <w:bCs/>
          <w:sz w:val="18"/>
          <w:szCs w:val="18"/>
        </w:rPr>
        <w:t>Então perguntamos: realmente a ordem a seguir no edital do descritivo de potencias e seus valores da planilha de preços estão certas?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b/>
          <w:bCs/>
          <w:sz w:val="18"/>
          <w:szCs w:val="18"/>
        </w:rPr>
        <w:t> </w:t>
      </w:r>
      <w:r w:rsidRPr="006A5C5A">
        <w:rPr>
          <w:rFonts w:ascii="Verdana" w:hAnsi="Verdana"/>
          <w:bCs/>
          <w:sz w:val="18"/>
          <w:szCs w:val="18"/>
        </w:rPr>
        <w:t>Como está no descritivo do projeto do edital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 </w:t>
      </w:r>
      <w:r w:rsidRPr="006A5C5A">
        <w:rPr>
          <w:rFonts w:ascii="Verdana" w:hAnsi="Verdana"/>
          <w:bCs/>
          <w:i/>
          <w:iCs/>
          <w:sz w:val="18"/>
          <w:szCs w:val="18"/>
        </w:rPr>
        <w:t xml:space="preserve">3.01         </w:t>
      </w:r>
      <w:r w:rsidRPr="006A5C5A">
        <w:rPr>
          <w:rFonts w:ascii="Verdana" w:hAnsi="Verdana"/>
          <w:sz w:val="18"/>
          <w:szCs w:val="18"/>
        </w:rPr>
        <w:t>Luminária retangular tipo pública LED de maior potência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 xml:space="preserve">- Possuir tomada NEMA 7 pinos para </w:t>
      </w:r>
      <w:proofErr w:type="spellStart"/>
      <w:r w:rsidRPr="006A5C5A">
        <w:rPr>
          <w:rFonts w:ascii="Verdana" w:hAnsi="Verdana"/>
          <w:sz w:val="18"/>
          <w:szCs w:val="18"/>
        </w:rPr>
        <w:t>telegestão</w:t>
      </w:r>
      <w:proofErr w:type="spellEnd"/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Potência total máxima: 200W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 xml:space="preserve">- Eficiência mínima da luminária: 135 </w:t>
      </w:r>
      <w:proofErr w:type="spellStart"/>
      <w:r w:rsidRPr="006A5C5A">
        <w:rPr>
          <w:rFonts w:ascii="Verdana" w:hAnsi="Verdana"/>
          <w:sz w:val="18"/>
          <w:szCs w:val="18"/>
        </w:rPr>
        <w:t>lm</w:t>
      </w:r>
      <w:proofErr w:type="spellEnd"/>
      <w:r w:rsidRPr="006A5C5A">
        <w:rPr>
          <w:rFonts w:ascii="Verdana" w:hAnsi="Verdana"/>
          <w:sz w:val="18"/>
          <w:szCs w:val="18"/>
        </w:rPr>
        <w:t>/W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 xml:space="preserve">- Fluxo luminoso mínimo da luminária: 24500 </w:t>
      </w:r>
      <w:proofErr w:type="spellStart"/>
      <w:r w:rsidRPr="006A5C5A">
        <w:rPr>
          <w:rFonts w:ascii="Verdana" w:hAnsi="Verdana"/>
          <w:sz w:val="18"/>
          <w:szCs w:val="18"/>
        </w:rPr>
        <w:t>lm</w:t>
      </w:r>
      <w:proofErr w:type="spellEnd"/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Temperatura de cor: 5000k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Grau de proteção mínimo: IP66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Tensão de operação: 110 a 250 V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Vida útil mínima com L70: 50.000 horas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Possuir homologação no INMETRO</w:t>
      </w:r>
    </w:p>
    <w:p w:rsid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 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bCs/>
          <w:i/>
          <w:iCs/>
          <w:sz w:val="18"/>
          <w:szCs w:val="18"/>
        </w:rPr>
        <w:t xml:space="preserve">3.02   </w:t>
      </w:r>
      <w:r w:rsidRPr="006A5C5A">
        <w:rPr>
          <w:rFonts w:ascii="Verdana" w:hAnsi="Verdana"/>
          <w:i/>
          <w:iCs/>
          <w:sz w:val="18"/>
          <w:szCs w:val="18"/>
        </w:rPr>
        <w:t> </w:t>
      </w:r>
      <w:r w:rsidRPr="006A5C5A">
        <w:rPr>
          <w:rFonts w:ascii="Verdana" w:hAnsi="Verdana"/>
          <w:sz w:val="18"/>
          <w:szCs w:val="18"/>
        </w:rPr>
        <w:t>Luminária retangular tipo pública LED de média potência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 xml:space="preserve">- Possuir tomada NEMA 7 pinos para </w:t>
      </w:r>
      <w:proofErr w:type="spellStart"/>
      <w:r w:rsidRPr="006A5C5A">
        <w:rPr>
          <w:rFonts w:ascii="Verdana" w:hAnsi="Verdana"/>
          <w:sz w:val="18"/>
          <w:szCs w:val="18"/>
        </w:rPr>
        <w:t>telegestão</w:t>
      </w:r>
      <w:proofErr w:type="spellEnd"/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Potência total máxima: 120W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 xml:space="preserve">- Eficiência mínima da luminária: 135 </w:t>
      </w:r>
      <w:proofErr w:type="spellStart"/>
      <w:r w:rsidRPr="006A5C5A">
        <w:rPr>
          <w:rFonts w:ascii="Verdana" w:hAnsi="Verdana"/>
          <w:sz w:val="18"/>
          <w:szCs w:val="18"/>
        </w:rPr>
        <w:t>lm</w:t>
      </w:r>
      <w:proofErr w:type="spellEnd"/>
      <w:r w:rsidRPr="006A5C5A">
        <w:rPr>
          <w:rFonts w:ascii="Verdana" w:hAnsi="Verdana"/>
          <w:sz w:val="18"/>
          <w:szCs w:val="18"/>
        </w:rPr>
        <w:t>/W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 xml:space="preserve">- Fluxo luminoso mínimo da luminária: 15000 </w:t>
      </w:r>
      <w:proofErr w:type="spellStart"/>
      <w:r w:rsidRPr="006A5C5A">
        <w:rPr>
          <w:rFonts w:ascii="Verdana" w:hAnsi="Verdana"/>
          <w:sz w:val="18"/>
          <w:szCs w:val="18"/>
        </w:rPr>
        <w:t>lm</w:t>
      </w:r>
      <w:proofErr w:type="spellEnd"/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Temperatura de cor: 5000k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Grau de proteção mínimo: IP66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lastRenderedPageBreak/>
        <w:t>- Tensão de operação: 110 a 250 V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Vida útil mínima com L70: 50.000 horas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Possuir homologação no INMETRO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i/>
          <w:iCs/>
          <w:sz w:val="18"/>
          <w:szCs w:val="18"/>
        </w:rPr>
        <w:t> 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bCs/>
          <w:i/>
          <w:iCs/>
          <w:sz w:val="18"/>
          <w:szCs w:val="18"/>
        </w:rPr>
        <w:t xml:space="preserve">3.03   </w:t>
      </w:r>
      <w:r w:rsidRPr="006A5C5A">
        <w:rPr>
          <w:rFonts w:ascii="Verdana" w:hAnsi="Verdana"/>
          <w:i/>
          <w:iCs/>
          <w:sz w:val="18"/>
          <w:szCs w:val="18"/>
        </w:rPr>
        <w:t> </w:t>
      </w:r>
      <w:r w:rsidRPr="006A5C5A">
        <w:rPr>
          <w:rFonts w:ascii="Verdana" w:hAnsi="Verdana"/>
          <w:sz w:val="18"/>
          <w:szCs w:val="18"/>
        </w:rPr>
        <w:t>Luminária retangular tipo pública LED de menor potência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 xml:space="preserve">- Possuir tomada NEMA 7 pinos para </w:t>
      </w:r>
      <w:proofErr w:type="spellStart"/>
      <w:r w:rsidRPr="006A5C5A">
        <w:rPr>
          <w:rFonts w:ascii="Verdana" w:hAnsi="Verdana"/>
          <w:sz w:val="18"/>
          <w:szCs w:val="18"/>
        </w:rPr>
        <w:t>telegestão</w:t>
      </w:r>
      <w:proofErr w:type="spellEnd"/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Potência total máxima: 100W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 xml:space="preserve">- Eficiência mínima da luminária: 135 </w:t>
      </w:r>
      <w:proofErr w:type="spellStart"/>
      <w:r w:rsidRPr="006A5C5A">
        <w:rPr>
          <w:rFonts w:ascii="Verdana" w:hAnsi="Verdana"/>
          <w:sz w:val="18"/>
          <w:szCs w:val="18"/>
        </w:rPr>
        <w:t>lm</w:t>
      </w:r>
      <w:proofErr w:type="spellEnd"/>
      <w:r w:rsidRPr="006A5C5A">
        <w:rPr>
          <w:rFonts w:ascii="Verdana" w:hAnsi="Verdana"/>
          <w:sz w:val="18"/>
          <w:szCs w:val="18"/>
        </w:rPr>
        <w:t>/W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 xml:space="preserve">- Fluxo luminoso mínimo da luminária: 11000 </w:t>
      </w:r>
      <w:proofErr w:type="spellStart"/>
      <w:r w:rsidRPr="006A5C5A">
        <w:rPr>
          <w:rFonts w:ascii="Verdana" w:hAnsi="Verdana"/>
          <w:sz w:val="18"/>
          <w:szCs w:val="18"/>
        </w:rPr>
        <w:t>lm</w:t>
      </w:r>
      <w:proofErr w:type="spellEnd"/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Temperatura de cor: 5000k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Grau de proteção mínimo: IP66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Tensão de operação: 110 a 250 V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Vida útil mínima com L70: 50.000 horas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- Possuir homologação no INMETRO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A5C5A">
        <w:rPr>
          <w:rFonts w:ascii="Verdana" w:hAnsi="Verdana"/>
          <w:sz w:val="18"/>
          <w:szCs w:val="18"/>
        </w:rPr>
        <w:t> </w:t>
      </w:r>
      <w:r w:rsidRPr="006A5C5A">
        <w:rPr>
          <w:rFonts w:ascii="Verdana" w:hAnsi="Verdana"/>
          <w:bCs/>
          <w:sz w:val="18"/>
          <w:szCs w:val="18"/>
        </w:rPr>
        <w:t>Como está no descritivo do edital</w:t>
      </w:r>
    </w:p>
    <w:p w:rsidR="006A5C5A" w:rsidRPr="006A5C5A" w:rsidRDefault="006A5C5A" w:rsidP="006A5C5A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6A5C5A">
        <w:rPr>
          <w:rFonts w:ascii="Verdana" w:hAnsi="Verdana"/>
          <w:b/>
          <w:sz w:val="18"/>
          <w:szCs w:val="18"/>
        </w:rPr>
        <w:t> </w:t>
      </w:r>
    </w:p>
    <w:tbl>
      <w:tblPr>
        <w:tblW w:w="951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93"/>
        <w:gridCol w:w="823"/>
        <w:gridCol w:w="3648"/>
        <w:gridCol w:w="715"/>
        <w:gridCol w:w="1040"/>
        <w:gridCol w:w="1492"/>
      </w:tblGrid>
      <w:tr w:rsidR="006A5C5A" w:rsidRPr="006A5C5A" w:rsidTr="006A5C5A">
        <w:trPr>
          <w:trHeight w:val="9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41.11.703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CPOS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Luminária LED retangular para poste baixa </w:t>
            </w:r>
            <w:proofErr w:type="spellStart"/>
            <w:r w:rsidRPr="006A5C5A">
              <w:rPr>
                <w:rFonts w:ascii="Verdana" w:hAnsi="Verdana"/>
                <w:b/>
                <w:sz w:val="18"/>
                <w:szCs w:val="18"/>
              </w:rPr>
              <w:t>potencia</w:t>
            </w:r>
            <w:proofErr w:type="spellEnd"/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, segundo memorial descritivo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 w:rsidRPr="006A5C5A">
              <w:rPr>
                <w:rFonts w:ascii="Verdana" w:hAnsi="Verdana"/>
                <w:b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453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R$      970,10 </w:t>
            </w:r>
          </w:p>
        </w:tc>
      </w:tr>
      <w:tr w:rsidR="006A5C5A" w:rsidRPr="006A5C5A" w:rsidTr="006A5C5A">
        <w:trPr>
          <w:trHeight w:val="9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41.11.703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CPOS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Luminária LED retangular para poste média </w:t>
            </w:r>
            <w:proofErr w:type="spellStart"/>
            <w:r w:rsidRPr="006A5C5A">
              <w:rPr>
                <w:rFonts w:ascii="Verdana" w:hAnsi="Verdana"/>
                <w:b/>
                <w:sz w:val="18"/>
                <w:szCs w:val="18"/>
              </w:rPr>
              <w:t>potencia</w:t>
            </w:r>
            <w:proofErr w:type="spellEnd"/>
            <w:r w:rsidRPr="006A5C5A">
              <w:rPr>
                <w:rFonts w:ascii="Verdana" w:hAnsi="Verdana"/>
                <w:b/>
                <w:sz w:val="18"/>
                <w:szCs w:val="18"/>
              </w:rPr>
              <w:t>, segundo memorial descritivo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 w:rsidRPr="006A5C5A">
              <w:rPr>
                <w:rFonts w:ascii="Verdana" w:hAnsi="Verdana"/>
                <w:b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630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R$   1.024,19 </w:t>
            </w:r>
          </w:p>
        </w:tc>
      </w:tr>
      <w:tr w:rsidR="006A5C5A" w:rsidRPr="006A5C5A" w:rsidTr="006A5C5A">
        <w:trPr>
          <w:trHeight w:val="8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41.11.703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CPOS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Luminária LED retangular para poste alta </w:t>
            </w:r>
            <w:proofErr w:type="spellStart"/>
            <w:r w:rsidRPr="006A5C5A">
              <w:rPr>
                <w:rFonts w:ascii="Verdana" w:hAnsi="Verdana"/>
                <w:b/>
                <w:sz w:val="18"/>
                <w:szCs w:val="18"/>
              </w:rPr>
              <w:t>potencia</w:t>
            </w:r>
            <w:proofErr w:type="spellEnd"/>
            <w:r w:rsidRPr="006A5C5A">
              <w:rPr>
                <w:rFonts w:ascii="Verdana" w:hAnsi="Verdana"/>
                <w:b/>
                <w:sz w:val="18"/>
                <w:szCs w:val="18"/>
              </w:rPr>
              <w:t>, segundo memorial descritivo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 w:rsidRPr="006A5C5A">
              <w:rPr>
                <w:rFonts w:ascii="Verdana" w:hAnsi="Verdana"/>
                <w:b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>2.250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C5A" w:rsidRPr="006A5C5A" w:rsidRDefault="006A5C5A" w:rsidP="006A5C5A">
            <w:pPr>
              <w:spacing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A5C5A">
              <w:rPr>
                <w:rFonts w:ascii="Verdana" w:hAnsi="Verdana"/>
                <w:b/>
                <w:sz w:val="18"/>
                <w:szCs w:val="18"/>
              </w:rPr>
              <w:t xml:space="preserve">R$   1.332,41 </w:t>
            </w:r>
          </w:p>
        </w:tc>
      </w:tr>
    </w:tbl>
    <w:p w:rsidR="006A5C5A" w:rsidRPr="006A5C5A" w:rsidRDefault="006A5C5A" w:rsidP="006A5C5A">
      <w:pPr>
        <w:spacing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3F3A87" w:rsidRPr="002A1343" w:rsidRDefault="006A5C5A" w:rsidP="006A5C5A">
      <w:pPr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2A1343">
        <w:rPr>
          <w:rFonts w:ascii="Verdana" w:eastAsia="Times New Roman" w:hAnsi="Verdana" w:cs="Calibri"/>
          <w:b/>
          <w:sz w:val="18"/>
          <w:szCs w:val="18"/>
          <w:lang w:eastAsia="pt-BR"/>
        </w:rPr>
        <w:t>ESCLARECIMENTOS:</w:t>
      </w:r>
      <w:r w:rsidR="007C6C64" w:rsidRPr="002A1343">
        <w:rPr>
          <w:rFonts w:ascii="Verdana" w:eastAsia="Times New Roman" w:hAnsi="Verdana" w:cs="Calibri"/>
          <w:b/>
          <w:sz w:val="18"/>
          <w:szCs w:val="18"/>
          <w:lang w:eastAsia="pt-BR"/>
        </w:rPr>
        <w:t xml:space="preserve"> </w:t>
      </w:r>
      <w:r w:rsidR="007C6C64" w:rsidRPr="002A1343">
        <w:rPr>
          <w:rFonts w:ascii="Verdana" w:eastAsia="Times New Roman" w:hAnsi="Verdana" w:cs="Calibri"/>
          <w:sz w:val="18"/>
          <w:szCs w:val="18"/>
          <w:lang w:eastAsia="pt-BR"/>
        </w:rPr>
        <w:t>De acordo com</w:t>
      </w:r>
      <w:r w:rsidR="007C6C64" w:rsidRPr="002A1343">
        <w:rPr>
          <w:rFonts w:ascii="Verdana" w:eastAsia="Times New Roman" w:hAnsi="Verdana" w:cs="Calibri"/>
          <w:b/>
          <w:sz w:val="18"/>
          <w:szCs w:val="18"/>
          <w:lang w:eastAsia="pt-BR"/>
        </w:rPr>
        <w:t xml:space="preserve"> </w:t>
      </w:r>
      <w:r w:rsidR="007C6C64" w:rsidRPr="002A1343">
        <w:rPr>
          <w:rFonts w:ascii="Verdana" w:eastAsia="Times New Roman" w:hAnsi="Verdana" w:cs="Calibri"/>
          <w:sz w:val="18"/>
          <w:szCs w:val="18"/>
          <w:lang w:eastAsia="pt-BR"/>
        </w:rPr>
        <w:t>manifestação da Secretaria de Obras e Serviços Públicos, vimos expor o que segue:</w:t>
      </w:r>
    </w:p>
    <w:p w:rsidR="007C6C64" w:rsidRPr="002A1343" w:rsidRDefault="007C6C64" w:rsidP="007C6C64">
      <w:pPr>
        <w:spacing w:after="120" w:line="276" w:lineRule="auto"/>
        <w:ind w:firstLine="1701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6A5C5A" w:rsidRPr="002A1343" w:rsidRDefault="007C6C64" w:rsidP="006A5C5A">
      <w:pPr>
        <w:spacing w:after="120" w:line="276" w:lineRule="auto"/>
        <w:ind w:firstLine="1701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2A1343">
        <w:rPr>
          <w:rFonts w:ascii="Verdana" w:eastAsia="Times New Roman" w:hAnsi="Verdana" w:cs="Calibri"/>
          <w:sz w:val="18"/>
          <w:szCs w:val="18"/>
          <w:lang w:eastAsia="pt-BR"/>
        </w:rPr>
        <w:t>1 - Quanto às luminárias ressalta-se que o termo Luminária LED retangular é o padrão utilizado em vias públicas e esse item não tem por objetivo desclassificar luminárias em outros “formatos”</w:t>
      </w:r>
      <w:r w:rsidR="002A1343" w:rsidRPr="002A1343">
        <w:rPr>
          <w:rFonts w:ascii="Verdana" w:eastAsia="Times New Roman" w:hAnsi="Verdana" w:cs="Calibri"/>
          <w:sz w:val="18"/>
          <w:szCs w:val="18"/>
          <w:lang w:eastAsia="pt-BR"/>
        </w:rPr>
        <w:t>, mas apenas orientar que não desejamos uma luminária tipo ornamental, globo ou chapéu chinês, por exemplo, que são utilizadas em iluminação pública de praças.</w:t>
      </w:r>
    </w:p>
    <w:p w:rsidR="002A1343" w:rsidRDefault="002A1343" w:rsidP="006A5C5A">
      <w:pPr>
        <w:spacing w:after="120" w:line="276" w:lineRule="auto"/>
        <w:ind w:firstLine="1701"/>
        <w:jc w:val="both"/>
        <w:rPr>
          <w:rFonts w:ascii="Verdana" w:eastAsia="Times New Roman" w:hAnsi="Verdana" w:cs="Calibri"/>
          <w:lang w:eastAsia="pt-BR"/>
        </w:rPr>
      </w:pPr>
    </w:p>
    <w:p w:rsidR="002A1343" w:rsidRDefault="002A1343" w:rsidP="006A5C5A">
      <w:pPr>
        <w:spacing w:after="120" w:line="276" w:lineRule="auto"/>
        <w:ind w:firstLine="1701"/>
        <w:jc w:val="both"/>
        <w:rPr>
          <w:rFonts w:ascii="Verdana" w:eastAsia="Times New Roman" w:hAnsi="Verdana" w:cs="Calibri"/>
          <w:lang w:eastAsia="pt-BR"/>
        </w:rPr>
      </w:pPr>
    </w:p>
    <w:p w:rsidR="002A1343" w:rsidRDefault="002A1343" w:rsidP="002A1343">
      <w:pPr>
        <w:spacing w:after="120" w:line="276" w:lineRule="auto"/>
        <w:ind w:firstLine="1560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2A1343">
        <w:rPr>
          <w:rFonts w:ascii="Verdana" w:eastAsia="Times New Roman" w:hAnsi="Verdana" w:cs="Times New Roman"/>
          <w:sz w:val="18"/>
          <w:szCs w:val="18"/>
          <w:lang w:eastAsia="pt-BR"/>
        </w:rPr>
        <w:lastRenderedPageBreak/>
        <w:t xml:space="preserve">2 - </w:t>
      </w:r>
      <w:r w:rsidR="006A5C5A" w:rsidRPr="002A1343">
        <w:rPr>
          <w:rFonts w:ascii="Verdana" w:eastAsia="Times New Roman" w:hAnsi="Verdana" w:cs="Times New Roman"/>
          <w:sz w:val="18"/>
          <w:szCs w:val="18"/>
          <w:lang w:eastAsia="pt-BR"/>
        </w:rPr>
        <w:t>No tocante à exigência de qualificação operacional da empresa</w:t>
      </w:r>
      <w:r w:rsidRPr="002A1343">
        <w:rPr>
          <w:rFonts w:ascii="Verdana" w:eastAsia="Times New Roman" w:hAnsi="Verdana" w:cs="Times New Roman"/>
          <w:sz w:val="18"/>
          <w:szCs w:val="18"/>
          <w:lang w:eastAsia="pt-BR"/>
        </w:rPr>
        <w:t xml:space="preserve">, sorte alguma </w:t>
      </w:r>
      <w:r w:rsidR="006A5C5A" w:rsidRPr="002A1343">
        <w:rPr>
          <w:rFonts w:ascii="Verdana" w:eastAsia="Times New Roman" w:hAnsi="Verdana" w:cs="Times New Roman"/>
          <w:sz w:val="18"/>
          <w:szCs w:val="18"/>
          <w:lang w:eastAsia="pt-BR"/>
        </w:rPr>
        <w:t xml:space="preserve">merece a requerente em relação </w:t>
      </w:r>
      <w:r w:rsidR="006A5C5A" w:rsidRPr="002A1343">
        <w:rPr>
          <w:rFonts w:ascii="Verdana" w:eastAsia="Times New Roman" w:hAnsi="Verdana" w:cs="Times New Roman"/>
          <w:sz w:val="18"/>
          <w:szCs w:val="18"/>
          <w:lang w:eastAsia="pt-BR"/>
        </w:rPr>
        <w:br/>
        <w:t>à sua desnecessidade. A Administração, através de seu poder discricionário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>,</w:t>
      </w:r>
      <w:r w:rsidR="006A5C5A" w:rsidRPr="002A1343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pode e </w:t>
      </w:r>
      <w:r w:rsidR="0017726E" w:rsidRPr="002A1343">
        <w:rPr>
          <w:rFonts w:ascii="Verdana" w:eastAsia="Times New Roman" w:hAnsi="Verdana" w:cs="Times New Roman"/>
          <w:sz w:val="18"/>
          <w:szCs w:val="18"/>
          <w:lang w:eastAsia="pt-BR"/>
        </w:rPr>
        <w:t>deve precaver-se, através de todos os dispositivos legais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>,</w:t>
      </w:r>
      <w:r w:rsidR="0017726E" w:rsidRPr="002A1343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para que obtenha êxito em suas contratações. No caso em tela, trata-se de uma licitação de grande valor e a qualificação das empresas é de suma importância para que sejam evitados percalços no deslinde do processo. </w:t>
      </w:r>
    </w:p>
    <w:p w:rsidR="006A5C5A" w:rsidRPr="002A1343" w:rsidRDefault="0017726E" w:rsidP="002A1343">
      <w:pPr>
        <w:spacing w:after="120" w:line="276" w:lineRule="auto"/>
        <w:ind w:firstLine="1560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2A1343">
        <w:rPr>
          <w:rFonts w:ascii="Verdana" w:eastAsia="Times New Roman" w:hAnsi="Verdana" w:cs="Times New Roman"/>
          <w:sz w:val="18"/>
          <w:szCs w:val="18"/>
          <w:lang w:eastAsia="pt-BR"/>
        </w:rPr>
        <w:t>Ademais, tal exigência está respaldada na Lei 8.666/93</w:t>
      </w:r>
      <w:r w:rsidR="007C6C64" w:rsidRPr="002A1343">
        <w:rPr>
          <w:rFonts w:ascii="Verdana" w:eastAsia="Times New Roman" w:hAnsi="Verdana" w:cs="Times New Roman"/>
          <w:sz w:val="18"/>
          <w:szCs w:val="18"/>
          <w:lang w:eastAsia="pt-BR"/>
        </w:rPr>
        <w:t>, em seu art. 30</w:t>
      </w:r>
      <w:r w:rsidR="002A1343">
        <w:rPr>
          <w:rFonts w:ascii="Verdana" w:eastAsia="Times New Roman" w:hAnsi="Verdana" w:cs="Times New Roman"/>
          <w:sz w:val="18"/>
          <w:szCs w:val="18"/>
          <w:lang w:eastAsia="pt-BR"/>
        </w:rPr>
        <w:t>, inciso II</w:t>
      </w:r>
      <w:r w:rsidR="007C6C64" w:rsidRPr="002A1343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e </w:t>
      </w:r>
      <w:proofErr w:type="gramStart"/>
      <w:r w:rsidR="007C6C64" w:rsidRPr="002A1343">
        <w:rPr>
          <w:rFonts w:ascii="Verdana" w:eastAsia="Times New Roman" w:hAnsi="Verdana" w:cs="Times New Roman"/>
          <w:sz w:val="18"/>
          <w:szCs w:val="18"/>
          <w:lang w:eastAsia="pt-BR"/>
        </w:rPr>
        <w:t>na Sumula</w:t>
      </w:r>
      <w:proofErr w:type="gramEnd"/>
      <w:r w:rsidR="007C6C64" w:rsidRPr="002A1343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24 do Tribunal de Contas do Estado de São Paulo:</w:t>
      </w:r>
    </w:p>
    <w:p w:rsidR="007C6C64" w:rsidRDefault="007C6C64" w:rsidP="007C6C64">
      <w:pPr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C6C64">
        <w:rPr>
          <w:rFonts w:ascii="Arial" w:hAnsi="Arial" w:cs="Arial"/>
          <w:i/>
          <w:sz w:val="20"/>
          <w:szCs w:val="20"/>
        </w:rPr>
        <w:t>Art. 30.  A documentação relativa à qualificação técnica limitar-se-á a:</w:t>
      </w:r>
    </w:p>
    <w:p w:rsidR="007C6C64" w:rsidRPr="007C6C64" w:rsidRDefault="007C6C64" w:rsidP="007C6C64">
      <w:pPr>
        <w:spacing w:after="120" w:line="276" w:lineRule="auto"/>
        <w:ind w:left="1418"/>
        <w:jc w:val="both"/>
        <w:rPr>
          <w:rFonts w:ascii="Verdana" w:eastAsia="Times New Roman" w:hAnsi="Verdana" w:cs="Calibri"/>
          <w:i/>
          <w:lang w:eastAsia="pt-BR"/>
        </w:rPr>
      </w:pPr>
      <w:r>
        <w:rPr>
          <w:rFonts w:ascii="Arial" w:hAnsi="Arial" w:cs="Arial"/>
          <w:i/>
          <w:sz w:val="20"/>
          <w:szCs w:val="20"/>
        </w:rPr>
        <w:t>I - ....</w:t>
      </w:r>
    </w:p>
    <w:p w:rsidR="006A5C5A" w:rsidRPr="007C6C64" w:rsidRDefault="007C6C64" w:rsidP="007C6C64">
      <w:pPr>
        <w:spacing w:after="120" w:line="276" w:lineRule="auto"/>
        <w:ind w:left="1418"/>
        <w:jc w:val="both"/>
        <w:rPr>
          <w:rFonts w:ascii="Verdana" w:eastAsia="Times New Roman" w:hAnsi="Verdana" w:cs="Calibri"/>
          <w:i/>
          <w:sz w:val="18"/>
          <w:szCs w:val="18"/>
          <w:lang w:eastAsia="pt-BR"/>
        </w:rPr>
      </w:pPr>
      <w:r w:rsidRPr="007C6C64">
        <w:rPr>
          <w:rFonts w:ascii="Arial" w:hAnsi="Arial" w:cs="Arial"/>
          <w:i/>
          <w:sz w:val="20"/>
          <w:szCs w:val="20"/>
        </w:rPr>
        <w:t>II - </w:t>
      </w:r>
      <w:proofErr w:type="gramStart"/>
      <w:r w:rsidRPr="007C6C64">
        <w:rPr>
          <w:rFonts w:ascii="Arial" w:hAnsi="Arial" w:cs="Arial"/>
          <w:i/>
          <w:sz w:val="20"/>
          <w:szCs w:val="20"/>
        </w:rPr>
        <w:t>comprovação</w:t>
      </w:r>
      <w:proofErr w:type="gramEnd"/>
      <w:r w:rsidRPr="007C6C64">
        <w:rPr>
          <w:rFonts w:ascii="Arial" w:hAnsi="Arial" w:cs="Arial"/>
          <w:i/>
          <w:sz w:val="20"/>
          <w:szCs w:val="20"/>
        </w:rPr>
        <w:t xml:space="preserve"> de aptidão para desempenho de atividade pertinente e compatível em características, quantidades e prazos com o objeto da licitação, e indicação das instalações e do aparelhamento e do pessoal técnico adequados e disponíveis para a realização do objeto da licitação, bem como da qualificação de cada um dos membros da equipe técnica que se responsabilizará pelos trabalhos;</w:t>
      </w:r>
    </w:p>
    <w:p w:rsidR="006A5C5A" w:rsidRPr="007C6C64" w:rsidRDefault="007C6C64" w:rsidP="007C6C64">
      <w:pPr>
        <w:spacing w:after="120" w:line="276" w:lineRule="auto"/>
        <w:ind w:left="1418"/>
        <w:jc w:val="both"/>
        <w:rPr>
          <w:rFonts w:ascii="Verdana" w:eastAsia="Times New Roman" w:hAnsi="Verdana" w:cs="Calibri"/>
          <w:i/>
          <w:sz w:val="18"/>
          <w:szCs w:val="18"/>
          <w:lang w:eastAsia="pt-BR"/>
        </w:rPr>
      </w:pPr>
      <w:r w:rsidRPr="007C6C64">
        <w:rPr>
          <w:rFonts w:ascii="Verdana" w:eastAsia="Times New Roman" w:hAnsi="Verdana" w:cs="Calibri"/>
          <w:b/>
          <w:i/>
          <w:sz w:val="18"/>
          <w:szCs w:val="18"/>
          <w:lang w:eastAsia="pt-BR"/>
        </w:rPr>
        <w:t>SÚMULA Nº 24 -</w:t>
      </w:r>
      <w:r w:rsidRPr="007C6C64">
        <w:rPr>
          <w:rFonts w:ascii="Verdana" w:eastAsia="Times New Roman" w:hAnsi="Verdana" w:cs="Calibri"/>
          <w:i/>
          <w:sz w:val="18"/>
          <w:szCs w:val="18"/>
          <w:lang w:eastAsia="pt-BR"/>
        </w:rPr>
        <w:t xml:space="preserve"> Em procedimento licitatório, é possível a exigência de comprovação </w:t>
      </w:r>
      <w:r w:rsidRPr="007C6C64">
        <w:rPr>
          <w:rFonts w:ascii="Verdana" w:eastAsia="Times New Roman" w:hAnsi="Verdana" w:cs="Calibri"/>
          <w:b/>
          <w:i/>
          <w:sz w:val="18"/>
          <w:szCs w:val="18"/>
          <w:u w:val="single"/>
          <w:lang w:eastAsia="pt-BR"/>
        </w:rPr>
        <w:t>da qualificação operacional</w:t>
      </w:r>
      <w:r w:rsidRPr="007C6C64">
        <w:rPr>
          <w:rFonts w:ascii="Verdana" w:eastAsia="Times New Roman" w:hAnsi="Verdana" w:cs="Calibri"/>
          <w:i/>
          <w:sz w:val="18"/>
          <w:szCs w:val="18"/>
          <w:lang w:eastAsia="pt-BR"/>
        </w:rPr>
        <w:t>, nos termos do inciso II, do artigo 30 da Lei Federal nº 8.666/93, a ser realizada mediante apresentação de atestados fornecidos por pessoas jurídicas de direito público ou privado, devidamente registrados nas entidades profissionais competentes, admitindo-se a imposição de quantitativos mínimos de prova de execução de serviços similares, desde que em quantidades razoáveis, assim consideradas 50% a 60% da execução pretendida, ou outro percentual que venha devida e tecnicamente justificado.</w:t>
      </w:r>
      <w:r>
        <w:rPr>
          <w:rFonts w:ascii="Verdana" w:eastAsia="Times New Roman" w:hAnsi="Verdana" w:cs="Calibri"/>
          <w:i/>
          <w:sz w:val="18"/>
          <w:szCs w:val="18"/>
          <w:lang w:eastAsia="pt-BR"/>
        </w:rPr>
        <w:t xml:space="preserve"> (</w:t>
      </w:r>
      <w:proofErr w:type="spellStart"/>
      <w:r>
        <w:rPr>
          <w:rFonts w:ascii="Verdana" w:eastAsia="Times New Roman" w:hAnsi="Verdana" w:cs="Calibri"/>
          <w:i/>
          <w:sz w:val="18"/>
          <w:szCs w:val="18"/>
          <w:lang w:eastAsia="pt-BR"/>
        </w:rPr>
        <w:t>g.n</w:t>
      </w:r>
      <w:proofErr w:type="spellEnd"/>
      <w:r>
        <w:rPr>
          <w:rFonts w:ascii="Verdana" w:eastAsia="Times New Roman" w:hAnsi="Verdana" w:cs="Calibri"/>
          <w:i/>
          <w:sz w:val="18"/>
          <w:szCs w:val="18"/>
          <w:lang w:eastAsia="pt-BR"/>
        </w:rPr>
        <w:t>.)</w:t>
      </w:r>
    </w:p>
    <w:p w:rsidR="006A5C5A" w:rsidRDefault="006A5C5A" w:rsidP="006A5C5A">
      <w:pPr>
        <w:spacing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6A5C5A" w:rsidRDefault="002A1343" w:rsidP="00085F34">
      <w:pPr>
        <w:spacing w:after="120" w:line="276" w:lineRule="auto"/>
        <w:ind w:firstLine="1418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  <w:r w:rsidRPr="002A1343">
        <w:rPr>
          <w:rFonts w:ascii="Verdana" w:eastAsia="Times New Roman" w:hAnsi="Verdana" w:cs="Calibri"/>
          <w:sz w:val="18"/>
          <w:szCs w:val="18"/>
          <w:lang w:eastAsia="pt-BR"/>
        </w:rPr>
        <w:t xml:space="preserve">Quanto às solicitações da empresa </w:t>
      </w:r>
      <w:r>
        <w:t>SOLAR MATERIAIS E CONSTRUÇÕES ELÉTRICAS EPP</w:t>
      </w:r>
      <w:r w:rsidR="00085F34">
        <w:t xml:space="preserve"> temos que, para as luminárias de baixa potência está planilhado o valor de R$ 970,10, para as de média potência R$ 1.024,19 e para as de alta potência R$ 1.332,41, não sendo observado incoerência. A ordem dos itens no memorial descritivo nada tem a ver com a ordem dos itens da planilha orçamentária, veja ainda que os números dos itens são diferentes e não houve qualquer relação entre os dois documentos. Os valores das potencias indicados no e-mail apresentado não estão na planilha orçamentária original. Deve-se basear os valores no texto da planilha, menor, média e maior potência.</w:t>
      </w:r>
      <w:bookmarkStart w:id="0" w:name="_GoBack"/>
      <w:bookmarkEnd w:id="0"/>
    </w:p>
    <w:p w:rsidR="006A5C5A" w:rsidRPr="006A5C5A" w:rsidRDefault="006A5C5A" w:rsidP="006A5C5A">
      <w:pPr>
        <w:spacing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8612B4" w:rsidRPr="00E70DD3" w:rsidRDefault="00EC72A2" w:rsidP="000A4E2D">
      <w:pPr>
        <w:spacing w:after="120" w:line="276" w:lineRule="auto"/>
        <w:ind w:firstLine="3261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 </w:t>
      </w:r>
      <w:r w:rsidR="008612B4" w:rsidRPr="00E70DD3">
        <w:rPr>
          <w:rFonts w:ascii="Verdana" w:eastAsia="Times New Roman" w:hAnsi="Verdana" w:cs="Calibri"/>
          <w:sz w:val="18"/>
          <w:szCs w:val="18"/>
          <w:lang w:eastAsia="pt-BR"/>
        </w:rPr>
        <w:t>Atenciosamente</w:t>
      </w:r>
    </w:p>
    <w:p w:rsidR="000A4E2D" w:rsidRPr="00E70DD3" w:rsidRDefault="00364E3D" w:rsidP="00F139CD">
      <w:pPr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</w:p>
    <w:p w:rsidR="008612B4" w:rsidRPr="00E70DD3" w:rsidRDefault="00364E3D" w:rsidP="00364E3D">
      <w:pPr>
        <w:spacing w:after="0"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b/>
          <w:sz w:val="18"/>
          <w:szCs w:val="18"/>
          <w:lang w:eastAsia="pt-BR"/>
        </w:rPr>
        <w:t>ARIANE SOARES DE S</w:t>
      </w:r>
      <w:r w:rsidR="00E348A7" w:rsidRPr="00E70DD3">
        <w:rPr>
          <w:rFonts w:ascii="Verdana" w:eastAsia="Times New Roman" w:hAnsi="Verdana" w:cs="Calibri"/>
          <w:b/>
          <w:sz w:val="18"/>
          <w:szCs w:val="18"/>
          <w:lang w:eastAsia="pt-BR"/>
        </w:rPr>
        <w:t>O</w:t>
      </w:r>
      <w:r w:rsidRPr="00E70DD3">
        <w:rPr>
          <w:rFonts w:ascii="Verdana" w:eastAsia="Times New Roman" w:hAnsi="Verdana" w:cs="Calibri"/>
          <w:b/>
          <w:sz w:val="18"/>
          <w:szCs w:val="18"/>
          <w:lang w:eastAsia="pt-BR"/>
        </w:rPr>
        <w:t>UZA</w:t>
      </w:r>
    </w:p>
    <w:p w:rsidR="008612B4" w:rsidRPr="00E70DD3" w:rsidRDefault="00364E3D" w:rsidP="00364E3D">
      <w:pPr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>Comissão Permanente de Licitações</w:t>
      </w:r>
    </w:p>
    <w:p w:rsidR="000922ED" w:rsidRPr="00E70DD3" w:rsidRDefault="00364E3D" w:rsidP="009D3FD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>Presidente</w:t>
      </w:r>
    </w:p>
    <w:sectPr w:rsidR="000922ED" w:rsidRPr="00E70D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85F34"/>
    <w:rsid w:val="000922ED"/>
    <w:rsid w:val="000A4E2D"/>
    <w:rsid w:val="000D6D39"/>
    <w:rsid w:val="000F42DD"/>
    <w:rsid w:val="001105AF"/>
    <w:rsid w:val="001704EC"/>
    <w:rsid w:val="0017726E"/>
    <w:rsid w:val="00252620"/>
    <w:rsid w:val="002A1343"/>
    <w:rsid w:val="002C4A19"/>
    <w:rsid w:val="00312CF2"/>
    <w:rsid w:val="00354CFA"/>
    <w:rsid w:val="00364E3D"/>
    <w:rsid w:val="00392CEF"/>
    <w:rsid w:val="003F3A87"/>
    <w:rsid w:val="0047165D"/>
    <w:rsid w:val="00495BA9"/>
    <w:rsid w:val="00500815"/>
    <w:rsid w:val="005714EE"/>
    <w:rsid w:val="006A5C5A"/>
    <w:rsid w:val="0073148A"/>
    <w:rsid w:val="007C6C64"/>
    <w:rsid w:val="007D4839"/>
    <w:rsid w:val="008508E8"/>
    <w:rsid w:val="008612B4"/>
    <w:rsid w:val="00874CEC"/>
    <w:rsid w:val="0088437E"/>
    <w:rsid w:val="009D3FDD"/>
    <w:rsid w:val="009D7122"/>
    <w:rsid w:val="009E0DE3"/>
    <w:rsid w:val="00AC61DD"/>
    <w:rsid w:val="00C1604A"/>
    <w:rsid w:val="00C331C7"/>
    <w:rsid w:val="00C63A71"/>
    <w:rsid w:val="00C656AE"/>
    <w:rsid w:val="00C7035E"/>
    <w:rsid w:val="00C96153"/>
    <w:rsid w:val="00CF0AC3"/>
    <w:rsid w:val="00D15AB8"/>
    <w:rsid w:val="00D73432"/>
    <w:rsid w:val="00DA088F"/>
    <w:rsid w:val="00E348A7"/>
    <w:rsid w:val="00E70DD3"/>
    <w:rsid w:val="00EC72A2"/>
    <w:rsid w:val="00ED39B3"/>
    <w:rsid w:val="00F139CD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3A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F3A87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3F3A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1207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3</cp:revision>
  <cp:lastPrinted>2020-05-18T17:27:00Z</cp:lastPrinted>
  <dcterms:created xsi:type="dcterms:W3CDTF">2020-05-28T12:41:00Z</dcterms:created>
  <dcterms:modified xsi:type="dcterms:W3CDTF">2020-05-28T13:42:00Z</dcterms:modified>
</cp:coreProperties>
</file>