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C" w:rsidRPr="00D40E75" w:rsidRDefault="009757C3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i/>
          <w:sz w:val="36"/>
          <w:szCs w:val="36"/>
        </w:rPr>
        <w:t>AN</w:t>
      </w:r>
      <w:r w:rsidR="005165CF">
        <w:rPr>
          <w:rFonts w:ascii="Verdana" w:hAnsi="Verdana"/>
          <w:b/>
          <w:i/>
          <w:sz w:val="36"/>
          <w:szCs w:val="36"/>
        </w:rPr>
        <w:t>Á</w:t>
      </w:r>
      <w:r>
        <w:rPr>
          <w:rFonts w:ascii="Verdana" w:hAnsi="Verdana"/>
          <w:b/>
          <w:i/>
          <w:sz w:val="36"/>
          <w:szCs w:val="36"/>
        </w:rPr>
        <w:t>L</w:t>
      </w:r>
      <w:r w:rsidR="005165CF">
        <w:rPr>
          <w:rFonts w:ascii="Verdana" w:hAnsi="Verdana"/>
          <w:b/>
          <w:i/>
          <w:sz w:val="36"/>
          <w:szCs w:val="36"/>
        </w:rPr>
        <w:t>I</w:t>
      </w:r>
      <w:r>
        <w:rPr>
          <w:rFonts w:ascii="Verdana" w:hAnsi="Verdana"/>
          <w:b/>
          <w:i/>
          <w:sz w:val="36"/>
          <w:szCs w:val="36"/>
        </w:rPr>
        <w:t>SE DE PROPOSTAS APRESENTADAS</w:t>
      </w:r>
    </w:p>
    <w:p w:rsidR="0081151C" w:rsidRPr="0081151C" w:rsidRDefault="0081151C" w:rsidP="0081151C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1151C">
        <w:rPr>
          <w:rFonts w:ascii="Verdana" w:hAnsi="Verdana"/>
          <w:b/>
          <w:sz w:val="18"/>
          <w:szCs w:val="18"/>
        </w:rPr>
        <w:t xml:space="preserve">“EDITAL DE TOMADA DE PREÇOS N° 004/2021”  </w:t>
      </w:r>
    </w:p>
    <w:p w:rsidR="0081151C" w:rsidRPr="0081151C" w:rsidRDefault="0081151C" w:rsidP="0081151C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1151C">
        <w:rPr>
          <w:rFonts w:ascii="Verdana" w:hAnsi="Verdana"/>
          <w:b/>
          <w:sz w:val="18"/>
          <w:szCs w:val="18"/>
        </w:rPr>
        <w:t xml:space="preserve"> “DE: 08 de abril de </w:t>
      </w:r>
      <w:r w:rsidRPr="0081151C">
        <w:rPr>
          <w:rFonts w:ascii="Verdana" w:hAnsi="Verdana"/>
          <w:b/>
          <w:noProof/>
          <w:sz w:val="18"/>
          <w:szCs w:val="18"/>
        </w:rPr>
        <w:t>2.021</w:t>
      </w:r>
      <w:r w:rsidRPr="0081151C">
        <w:rPr>
          <w:rFonts w:ascii="Verdana" w:hAnsi="Verdana"/>
          <w:b/>
          <w:sz w:val="18"/>
          <w:szCs w:val="18"/>
        </w:rPr>
        <w:t>”</w:t>
      </w:r>
    </w:p>
    <w:p w:rsidR="00707090" w:rsidRPr="00225DE1" w:rsidRDefault="00707090" w:rsidP="0081151C">
      <w:pPr>
        <w:spacing w:before="0"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25DE1">
        <w:rPr>
          <w:rFonts w:ascii="Verdana" w:hAnsi="Verdana" w:cstheme="minorHAnsi"/>
          <w:b/>
          <w:sz w:val="18"/>
          <w:szCs w:val="18"/>
        </w:rPr>
        <w:t>TIPO: MENOR PREÇO GLOBAL</w:t>
      </w:r>
    </w:p>
    <w:p w:rsidR="008442EE" w:rsidRPr="00225DE1" w:rsidRDefault="008442EE" w:rsidP="000A4E2D">
      <w:pPr>
        <w:spacing w:after="120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C96153" w:rsidRPr="00225DE1" w:rsidRDefault="00C96153" w:rsidP="000A4E2D">
      <w:pPr>
        <w:spacing w:after="120"/>
        <w:jc w:val="right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Araraquara, </w:t>
      </w:r>
      <w:r w:rsidR="0081151C">
        <w:rPr>
          <w:rFonts w:ascii="Verdana" w:eastAsia="Times New Roman" w:hAnsi="Verdana" w:cstheme="minorHAnsi"/>
          <w:sz w:val="18"/>
          <w:szCs w:val="18"/>
          <w:lang w:eastAsia="pt-BR"/>
        </w:rPr>
        <w:t>29</w:t>
      </w:r>
      <w:r w:rsidR="001F2E9E"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</w:t>
      </w:r>
      <w:r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de </w:t>
      </w:r>
      <w:r w:rsidR="0081151C">
        <w:rPr>
          <w:rFonts w:ascii="Verdana" w:eastAsia="Times New Roman" w:hAnsi="Verdana" w:cstheme="minorHAnsi"/>
          <w:sz w:val="18"/>
          <w:szCs w:val="18"/>
          <w:lang w:eastAsia="pt-BR"/>
        </w:rPr>
        <w:t>ABRIL</w:t>
      </w:r>
      <w:r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de 20</w:t>
      </w:r>
      <w:r w:rsidR="003F3A87" w:rsidRPr="00225DE1">
        <w:rPr>
          <w:rFonts w:ascii="Verdana" w:eastAsia="Times New Roman" w:hAnsi="Verdana" w:cstheme="minorHAnsi"/>
          <w:sz w:val="18"/>
          <w:szCs w:val="18"/>
          <w:lang w:eastAsia="pt-BR"/>
        </w:rPr>
        <w:t>2</w:t>
      </w:r>
      <w:r w:rsidR="0081151C">
        <w:rPr>
          <w:rFonts w:ascii="Verdana" w:eastAsia="Times New Roman" w:hAnsi="Verdana" w:cstheme="minorHAnsi"/>
          <w:sz w:val="18"/>
          <w:szCs w:val="18"/>
          <w:lang w:eastAsia="pt-BR"/>
        </w:rPr>
        <w:t>1</w:t>
      </w:r>
      <w:r w:rsidRPr="00225DE1">
        <w:rPr>
          <w:rFonts w:ascii="Verdana" w:eastAsia="Times New Roman" w:hAnsi="Verdana" w:cstheme="minorHAnsi"/>
          <w:sz w:val="18"/>
          <w:szCs w:val="18"/>
          <w:lang w:eastAsia="pt-BR"/>
        </w:rPr>
        <w:t>.</w:t>
      </w:r>
    </w:p>
    <w:p w:rsidR="008442EE" w:rsidRPr="00225DE1" w:rsidRDefault="008442EE" w:rsidP="000A4E2D">
      <w:pPr>
        <w:spacing w:after="120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8442EE" w:rsidRPr="00225DE1" w:rsidRDefault="008442EE" w:rsidP="000A4E2D">
      <w:pPr>
        <w:spacing w:after="120"/>
        <w:jc w:val="both"/>
        <w:rPr>
          <w:rFonts w:ascii="Verdana" w:eastAsia="Times New Roman" w:hAnsi="Verdana" w:cstheme="minorHAnsi"/>
          <w:sz w:val="18"/>
          <w:szCs w:val="18"/>
          <w:lang w:eastAsia="pt-BR"/>
        </w:rPr>
      </w:pPr>
    </w:p>
    <w:p w:rsidR="000A4E2D" w:rsidRPr="0081151C" w:rsidRDefault="002C4A19" w:rsidP="008442EE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 w:rsidRPr="00225DE1">
        <w:rPr>
          <w:rFonts w:ascii="Verdana" w:eastAsia="Times New Roman" w:hAnsi="Verdana" w:cstheme="minorHAnsi"/>
          <w:sz w:val="18"/>
          <w:szCs w:val="18"/>
          <w:lang w:eastAsia="pt-BR"/>
        </w:rPr>
        <w:t>Vimos, através deste</w:t>
      </w:r>
      <w:r w:rsidR="00C656AE"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, em relação </w:t>
      </w:r>
      <w:r w:rsidR="00025817" w:rsidRPr="00225DE1">
        <w:rPr>
          <w:rFonts w:ascii="Verdana" w:eastAsia="Times New Roman" w:hAnsi="Verdana" w:cstheme="minorHAnsi"/>
          <w:sz w:val="18"/>
          <w:szCs w:val="18"/>
          <w:lang w:eastAsia="pt-BR"/>
        </w:rPr>
        <w:t>à</w:t>
      </w:r>
      <w:r w:rsidR="00D73432"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</w:t>
      </w:r>
      <w:r w:rsidR="00025817" w:rsidRPr="00225DE1">
        <w:rPr>
          <w:rFonts w:ascii="Verdana" w:eastAsia="Times New Roman" w:hAnsi="Verdana" w:cstheme="minorHAnsi"/>
          <w:sz w:val="18"/>
          <w:szCs w:val="18"/>
          <w:lang w:eastAsia="pt-BR"/>
        </w:rPr>
        <w:t>TOMADA DE PREÇOS</w:t>
      </w:r>
      <w:r w:rsidR="00D73432" w:rsidRPr="00225DE1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nº </w:t>
      </w:r>
      <w:r w:rsidR="0081151C" w:rsidRPr="0081151C">
        <w:rPr>
          <w:rFonts w:ascii="Verdana" w:eastAsia="Times New Roman" w:hAnsi="Verdana" w:cstheme="minorHAnsi"/>
          <w:sz w:val="18"/>
          <w:szCs w:val="18"/>
          <w:lang w:eastAsia="pt-BR"/>
        </w:rPr>
        <w:t>004</w:t>
      </w:r>
      <w:r w:rsidR="00D73432" w:rsidRPr="0081151C">
        <w:rPr>
          <w:rFonts w:ascii="Verdana" w:eastAsia="Times New Roman" w:hAnsi="Verdana" w:cstheme="minorHAnsi"/>
          <w:sz w:val="18"/>
          <w:szCs w:val="18"/>
          <w:lang w:eastAsia="pt-BR"/>
        </w:rPr>
        <w:t>/202</w:t>
      </w:r>
      <w:r w:rsidR="0081151C" w:rsidRPr="0081151C">
        <w:rPr>
          <w:rFonts w:ascii="Verdana" w:eastAsia="Times New Roman" w:hAnsi="Verdana" w:cstheme="minorHAnsi"/>
          <w:sz w:val="18"/>
          <w:szCs w:val="18"/>
          <w:lang w:eastAsia="pt-BR"/>
        </w:rPr>
        <w:t>1</w:t>
      </w:r>
      <w:r w:rsidR="00C656AE" w:rsidRPr="0081151C">
        <w:rPr>
          <w:rFonts w:ascii="Verdana" w:eastAsia="Times New Roman" w:hAnsi="Verdana" w:cstheme="minorHAnsi"/>
          <w:sz w:val="18"/>
          <w:szCs w:val="18"/>
          <w:lang w:eastAsia="pt-BR"/>
        </w:rPr>
        <w:t>, cujo objeto</w:t>
      </w:r>
      <w:r w:rsidR="0081151C" w:rsidRPr="0081151C">
        <w:rPr>
          <w:rFonts w:ascii="Verdana" w:eastAsia="Times New Roman" w:hAnsi="Verdana" w:cstheme="minorHAnsi"/>
          <w:sz w:val="18"/>
          <w:szCs w:val="18"/>
          <w:lang w:eastAsia="pt-BR"/>
        </w:rPr>
        <w:t xml:space="preserve"> </w:t>
      </w:r>
      <w:r w:rsidR="0081151C" w:rsidRPr="0081151C">
        <w:rPr>
          <w:rFonts w:ascii="Verdana" w:hAnsi="Verdana"/>
          <w:b/>
          <w:sz w:val="18"/>
          <w:szCs w:val="18"/>
        </w:rPr>
        <w:t xml:space="preserve">“CONTRATAÇÃO DE EMPRESA ESPECIALIZADA PARA DEMOLIÇÃO DE PONTE EXISTENTE E CONSTRUÇÃO DE NOVA PONTE SOBRE O CÓRREGO DO OURO, LOCALIZADA NA ARA50 – ESTRADA ABÍLIO AUGUSTO CORREA, NO BAIRRO DOS MACHADOS, CONFORME </w:t>
      </w:r>
      <w:proofErr w:type="gramStart"/>
      <w:r w:rsidR="0081151C" w:rsidRPr="0081151C">
        <w:rPr>
          <w:rFonts w:ascii="Verdana" w:hAnsi="Verdana"/>
          <w:b/>
          <w:sz w:val="18"/>
          <w:szCs w:val="18"/>
        </w:rPr>
        <w:t>MEMORIAL DESCRITIVO E DEMAIS ANEXOS QUE FAZEM PARTE DO PRESENTE EDITAL”</w:t>
      </w:r>
      <w:proofErr w:type="gramEnd"/>
      <w:r w:rsidR="00707090" w:rsidRPr="0081151C">
        <w:rPr>
          <w:rFonts w:ascii="Verdana" w:hAnsi="Verdana" w:cstheme="minorHAnsi"/>
          <w:sz w:val="18"/>
          <w:szCs w:val="18"/>
        </w:rPr>
        <w:t xml:space="preserve">, </w:t>
      </w:r>
      <w:r w:rsidR="003A030F" w:rsidRPr="0081151C">
        <w:rPr>
          <w:rFonts w:ascii="Verdana" w:hAnsi="Verdana" w:cstheme="minorHAnsi"/>
          <w:sz w:val="18"/>
          <w:szCs w:val="18"/>
        </w:rPr>
        <w:t>expor o que segue:</w:t>
      </w:r>
    </w:p>
    <w:p w:rsidR="008442EE" w:rsidRDefault="00D56962" w:rsidP="0081151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="0081151C" w:rsidRPr="0081151C">
        <w:rPr>
          <w:rFonts w:ascii="Verdana" w:hAnsi="Verdana" w:cstheme="minorHAnsi"/>
          <w:sz w:val="18"/>
          <w:szCs w:val="18"/>
        </w:rPr>
        <w:t>A Comissão Permanente de Licitações</w:t>
      </w:r>
      <w:r w:rsidR="009F64A4" w:rsidRPr="0081151C">
        <w:rPr>
          <w:rFonts w:ascii="Verdana" w:hAnsi="Verdana" w:cstheme="minorHAnsi"/>
          <w:sz w:val="18"/>
          <w:szCs w:val="18"/>
        </w:rPr>
        <w:t>, ao encaminhar as propostas das licitantes</w:t>
      </w:r>
      <w:r w:rsidR="0081151C">
        <w:rPr>
          <w:rFonts w:ascii="Verdana" w:hAnsi="Verdana" w:cstheme="minorHAnsi"/>
          <w:sz w:val="18"/>
          <w:szCs w:val="18"/>
        </w:rPr>
        <w:t xml:space="preserve"> </w:t>
      </w:r>
      <w:r w:rsidR="0081151C" w:rsidRPr="0081151C">
        <w:rPr>
          <w:rFonts w:ascii="Verdana" w:hAnsi="Verdana" w:cs="Calibri"/>
          <w:sz w:val="18"/>
          <w:szCs w:val="18"/>
        </w:rPr>
        <w:t>BTN CONSTRUTORA DE OBRAS EIRELI</w:t>
      </w:r>
      <w:r w:rsidR="0081151C">
        <w:rPr>
          <w:rFonts w:ascii="Verdana" w:hAnsi="Verdana" w:cs="Calibri"/>
          <w:sz w:val="18"/>
          <w:szCs w:val="18"/>
        </w:rPr>
        <w:t xml:space="preserve">, </w:t>
      </w:r>
      <w:r w:rsidR="0081151C" w:rsidRPr="0081151C">
        <w:rPr>
          <w:rFonts w:ascii="Verdana" w:hAnsi="Verdana" w:cs="Calibri"/>
          <w:sz w:val="18"/>
          <w:szCs w:val="18"/>
        </w:rPr>
        <w:t xml:space="preserve"> </w:t>
      </w:r>
      <w:r w:rsidR="0081151C">
        <w:rPr>
          <w:rFonts w:ascii="Verdana" w:hAnsi="Verdana" w:cs="Calibri"/>
          <w:sz w:val="18"/>
          <w:szCs w:val="18"/>
        </w:rPr>
        <w:t>A</w:t>
      </w:r>
      <w:r w:rsidR="0081151C" w:rsidRPr="0081151C">
        <w:rPr>
          <w:rFonts w:ascii="Verdana" w:hAnsi="Verdana" w:cs="Calibri"/>
          <w:sz w:val="18"/>
          <w:szCs w:val="18"/>
        </w:rPr>
        <w:t>UTEM ENGENHARIA LTDA</w:t>
      </w:r>
      <w:r w:rsidR="0081151C">
        <w:rPr>
          <w:rFonts w:ascii="Verdana" w:hAnsi="Verdana" w:cs="Calibri"/>
          <w:sz w:val="18"/>
          <w:szCs w:val="18"/>
        </w:rPr>
        <w:t xml:space="preserve"> e </w:t>
      </w:r>
      <w:r w:rsidR="0081151C" w:rsidRPr="0081151C">
        <w:rPr>
          <w:rFonts w:ascii="Verdana" w:hAnsi="Verdana" w:cs="Calibri"/>
          <w:sz w:val="18"/>
          <w:szCs w:val="18"/>
        </w:rPr>
        <w:t>VERDEBIANCO ENGENHARIA EIRELI</w:t>
      </w:r>
      <w:r w:rsidR="0081151C" w:rsidRPr="0081151C">
        <w:rPr>
          <w:rFonts w:ascii="Verdana" w:hAnsi="Verdana" w:cstheme="minorHAnsi"/>
          <w:sz w:val="18"/>
          <w:szCs w:val="18"/>
        </w:rPr>
        <w:t xml:space="preserve"> </w:t>
      </w:r>
      <w:r w:rsidR="009F64A4" w:rsidRPr="0081151C">
        <w:rPr>
          <w:rFonts w:ascii="Verdana" w:hAnsi="Verdana" w:cstheme="minorHAnsi"/>
          <w:sz w:val="18"/>
          <w:szCs w:val="18"/>
        </w:rPr>
        <w:t>para a Secretaria de Obras e Serviços</w:t>
      </w:r>
      <w:r w:rsidR="009F64A4" w:rsidRPr="00225DE1">
        <w:rPr>
          <w:rFonts w:ascii="Verdana" w:hAnsi="Verdana" w:cstheme="minorHAnsi"/>
          <w:sz w:val="18"/>
          <w:szCs w:val="18"/>
        </w:rPr>
        <w:t xml:space="preserve"> Públicos, esta Comissão foi informada </w:t>
      </w:r>
      <w:r w:rsidR="00930955" w:rsidRPr="00225DE1">
        <w:rPr>
          <w:rFonts w:ascii="Verdana" w:hAnsi="Verdana" w:cstheme="minorHAnsi"/>
          <w:sz w:val="18"/>
          <w:szCs w:val="18"/>
        </w:rPr>
        <w:t xml:space="preserve">de </w:t>
      </w:r>
      <w:r w:rsidR="009F64A4" w:rsidRPr="00225DE1">
        <w:rPr>
          <w:rFonts w:ascii="Verdana" w:hAnsi="Verdana" w:cstheme="minorHAnsi"/>
          <w:sz w:val="18"/>
          <w:szCs w:val="18"/>
        </w:rPr>
        <w:t>que</w:t>
      </w:r>
      <w:r w:rsidR="0081151C">
        <w:rPr>
          <w:rFonts w:ascii="Verdana" w:hAnsi="Verdana" w:cstheme="minorHAnsi"/>
          <w:sz w:val="18"/>
          <w:szCs w:val="18"/>
        </w:rPr>
        <w:t xml:space="preserve"> as</w:t>
      </w:r>
      <w:r w:rsidR="009F64A4" w:rsidRPr="00225DE1">
        <w:rPr>
          <w:rFonts w:ascii="Verdana" w:hAnsi="Verdana" w:cstheme="minorHAnsi"/>
          <w:sz w:val="18"/>
          <w:szCs w:val="18"/>
        </w:rPr>
        <w:t xml:space="preserve"> </w:t>
      </w:r>
      <w:r w:rsidR="0081151C">
        <w:rPr>
          <w:rFonts w:ascii="Verdana" w:hAnsi="Verdana" w:cstheme="minorHAnsi"/>
          <w:sz w:val="18"/>
          <w:szCs w:val="18"/>
        </w:rPr>
        <w:t>duas primeiras</w:t>
      </w:r>
      <w:r w:rsidR="00930955" w:rsidRPr="00225DE1">
        <w:rPr>
          <w:rFonts w:ascii="Verdana" w:hAnsi="Verdana" w:cstheme="minorHAnsi"/>
          <w:sz w:val="18"/>
          <w:szCs w:val="18"/>
        </w:rPr>
        <w:t xml:space="preserve"> licitantes</w:t>
      </w:r>
      <w:r w:rsidR="009F64A4" w:rsidRPr="00225DE1">
        <w:rPr>
          <w:rFonts w:ascii="Verdana" w:hAnsi="Verdana" w:cstheme="minorHAnsi"/>
          <w:sz w:val="18"/>
          <w:szCs w:val="18"/>
        </w:rPr>
        <w:t xml:space="preserve"> apresentaram suas propostas </w:t>
      </w:r>
      <w:r w:rsidR="009F64A4" w:rsidRPr="00225DE1">
        <w:rPr>
          <w:rFonts w:ascii="Verdana" w:hAnsi="Verdana" w:cs="Arial"/>
          <w:sz w:val="18"/>
          <w:szCs w:val="18"/>
        </w:rPr>
        <w:t xml:space="preserve">com preços unitários e total por item com mais de 2 (duas) casas decimais, em desconformidade com o edital. </w:t>
      </w:r>
      <w:r w:rsidR="0081151C">
        <w:rPr>
          <w:rFonts w:ascii="Verdana" w:hAnsi="Verdana" w:cs="Arial"/>
          <w:sz w:val="18"/>
          <w:szCs w:val="18"/>
        </w:rPr>
        <w:t xml:space="preserve"> Resultando em erro formal de suas propostas. </w:t>
      </w:r>
    </w:p>
    <w:p w:rsidR="00C77589" w:rsidRDefault="00516224" w:rsidP="008442EE">
      <w:pPr>
        <w:ind w:firstLine="2268"/>
        <w:jc w:val="both"/>
        <w:rPr>
          <w:rFonts w:ascii="Verdana" w:hAnsi="Verdana" w:cs="Arial"/>
          <w:sz w:val="18"/>
          <w:szCs w:val="18"/>
        </w:rPr>
      </w:pPr>
      <w:r w:rsidRPr="00225DE1">
        <w:rPr>
          <w:rFonts w:ascii="Verdana" w:hAnsi="Verdana" w:cstheme="minorHAnsi"/>
          <w:sz w:val="18"/>
          <w:szCs w:val="18"/>
        </w:rPr>
        <w:t xml:space="preserve">As empresas </w:t>
      </w:r>
      <w:r w:rsidR="00C77589" w:rsidRPr="0081151C">
        <w:rPr>
          <w:rFonts w:ascii="Verdana" w:hAnsi="Verdana" w:cs="Calibri"/>
          <w:sz w:val="18"/>
          <w:szCs w:val="18"/>
        </w:rPr>
        <w:t>BTN CONSTRUTORA DE OBRAS EIRELI</w:t>
      </w:r>
      <w:r w:rsidR="00C77589">
        <w:rPr>
          <w:rFonts w:ascii="Verdana" w:hAnsi="Verdana" w:cs="Calibri"/>
          <w:sz w:val="18"/>
          <w:szCs w:val="18"/>
        </w:rPr>
        <w:t xml:space="preserve"> e </w:t>
      </w:r>
      <w:r w:rsidRPr="00225DE1">
        <w:rPr>
          <w:rFonts w:ascii="Verdana" w:hAnsi="Verdana" w:cs="Arial"/>
          <w:sz w:val="18"/>
          <w:szCs w:val="18"/>
        </w:rPr>
        <w:t xml:space="preserve"> </w:t>
      </w:r>
      <w:r w:rsidR="00C77589">
        <w:rPr>
          <w:rFonts w:ascii="Verdana" w:hAnsi="Verdana" w:cs="Calibri"/>
          <w:sz w:val="18"/>
          <w:szCs w:val="18"/>
        </w:rPr>
        <w:t>A</w:t>
      </w:r>
      <w:r w:rsidR="00C77589" w:rsidRPr="0081151C">
        <w:rPr>
          <w:rFonts w:ascii="Verdana" w:hAnsi="Verdana" w:cs="Calibri"/>
          <w:sz w:val="18"/>
          <w:szCs w:val="18"/>
        </w:rPr>
        <w:t>UTEM ENGENHARIA LTDA</w:t>
      </w:r>
      <w:r w:rsidR="00C77589">
        <w:rPr>
          <w:rFonts w:ascii="Verdana" w:hAnsi="Verdana" w:cs="Calibri"/>
          <w:sz w:val="18"/>
          <w:szCs w:val="18"/>
        </w:rPr>
        <w:t>,</w:t>
      </w:r>
      <w:r w:rsidR="00C77589" w:rsidRPr="00225DE1">
        <w:rPr>
          <w:rFonts w:ascii="Verdana" w:hAnsi="Verdana" w:cs="Arial"/>
          <w:sz w:val="18"/>
          <w:szCs w:val="18"/>
        </w:rPr>
        <w:t xml:space="preserve"> </w:t>
      </w:r>
      <w:r w:rsidRPr="00225DE1">
        <w:rPr>
          <w:rFonts w:ascii="Verdana" w:hAnsi="Verdana" w:cs="Arial"/>
          <w:sz w:val="18"/>
          <w:szCs w:val="18"/>
        </w:rPr>
        <w:t xml:space="preserve">apresentaram suas propostas em anexo </w:t>
      </w:r>
      <w:r w:rsidR="00C77589">
        <w:rPr>
          <w:rFonts w:ascii="Verdana" w:hAnsi="Verdana" w:cs="Arial"/>
          <w:sz w:val="18"/>
          <w:szCs w:val="18"/>
        </w:rPr>
        <w:t xml:space="preserve">fornecido pelo Município, ou seja, </w:t>
      </w:r>
      <w:r w:rsidRPr="00225DE1">
        <w:rPr>
          <w:rFonts w:ascii="Verdana" w:hAnsi="Verdana" w:cs="Arial"/>
          <w:sz w:val="18"/>
          <w:szCs w:val="18"/>
        </w:rPr>
        <w:t xml:space="preserve">Modelo de Proposta disponibilizado no edital. </w:t>
      </w:r>
      <w:r w:rsidR="00225DE1">
        <w:rPr>
          <w:rFonts w:ascii="Verdana" w:hAnsi="Verdana" w:cs="Arial"/>
          <w:sz w:val="18"/>
          <w:szCs w:val="18"/>
        </w:rPr>
        <w:t xml:space="preserve">Suas propostas foram formuladas no Anexo que se trata de Planilha de Quantitativos e Preços unitários. </w:t>
      </w:r>
    </w:p>
    <w:p w:rsidR="00871D82" w:rsidRDefault="00871D82" w:rsidP="00871D82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No entanto, a</w:t>
      </w:r>
      <w:r w:rsidRPr="00930955">
        <w:rPr>
          <w:rFonts w:ascii="Verdana" w:hAnsi="Verdana" w:cstheme="minorHAnsi"/>
          <w:sz w:val="18"/>
          <w:szCs w:val="18"/>
        </w:rPr>
        <w:t xml:space="preserve">pós </w:t>
      </w:r>
      <w:r>
        <w:rPr>
          <w:rFonts w:ascii="Verdana" w:hAnsi="Verdana" w:cstheme="minorHAnsi"/>
          <w:sz w:val="18"/>
          <w:szCs w:val="18"/>
        </w:rPr>
        <w:t>a análise do documento</w:t>
      </w:r>
      <w:r w:rsidR="00410C2F">
        <w:rPr>
          <w:rFonts w:ascii="Verdana" w:hAnsi="Verdana" w:cstheme="minorHAnsi"/>
          <w:sz w:val="18"/>
          <w:szCs w:val="18"/>
        </w:rPr>
        <w:t xml:space="preserve"> encaminhado pela Secretaria de Obras e Serviços Públicos</w:t>
      </w:r>
      <w:r w:rsidRPr="00930955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 xml:space="preserve">entende esta </w:t>
      </w:r>
      <w:r w:rsidR="00410C2F">
        <w:rPr>
          <w:rFonts w:ascii="Verdana" w:hAnsi="Verdana" w:cstheme="minorHAnsi"/>
          <w:sz w:val="18"/>
          <w:szCs w:val="18"/>
        </w:rPr>
        <w:t xml:space="preserve">Comissão </w:t>
      </w:r>
      <w:r>
        <w:rPr>
          <w:rFonts w:ascii="Verdana" w:hAnsi="Verdana" w:cstheme="minorHAnsi"/>
          <w:sz w:val="18"/>
          <w:szCs w:val="18"/>
        </w:rPr>
        <w:t>que a decisão</w:t>
      </w:r>
      <w:r w:rsidR="00410C2F">
        <w:rPr>
          <w:rFonts w:ascii="Verdana" w:hAnsi="Verdana" w:cstheme="minorHAnsi"/>
          <w:sz w:val="18"/>
          <w:szCs w:val="18"/>
        </w:rPr>
        <w:t xml:space="preserve"> de Análise </w:t>
      </w:r>
      <w:r>
        <w:rPr>
          <w:rFonts w:ascii="Verdana" w:hAnsi="Verdana" w:cstheme="minorHAnsi"/>
          <w:sz w:val="18"/>
          <w:szCs w:val="18"/>
        </w:rPr>
        <w:t xml:space="preserve"> da </w:t>
      </w:r>
      <w:r w:rsidR="00410C2F">
        <w:rPr>
          <w:rFonts w:ascii="Verdana" w:hAnsi="Verdana" w:cstheme="minorHAnsi"/>
          <w:sz w:val="18"/>
          <w:szCs w:val="18"/>
        </w:rPr>
        <w:t>Secretaria de Obras e Serviços Públicos</w:t>
      </w:r>
      <w:r>
        <w:rPr>
          <w:rFonts w:ascii="Verdana" w:hAnsi="Verdana" w:cstheme="minorHAnsi"/>
          <w:sz w:val="18"/>
          <w:szCs w:val="18"/>
        </w:rPr>
        <w:t xml:space="preserve"> merece ser reformada, haja vista que os equívocos ocorridos nas propostas podem perfeitamente ser sanados, visto que se </w:t>
      </w:r>
      <w:proofErr w:type="gramStart"/>
      <w:r>
        <w:rPr>
          <w:rFonts w:ascii="Verdana" w:hAnsi="Verdana" w:cstheme="minorHAnsi"/>
          <w:sz w:val="18"/>
          <w:szCs w:val="18"/>
        </w:rPr>
        <w:t>tratam</w:t>
      </w:r>
      <w:proofErr w:type="gramEnd"/>
      <w:r>
        <w:rPr>
          <w:rFonts w:ascii="Verdana" w:hAnsi="Verdana" w:cstheme="minorHAnsi"/>
          <w:sz w:val="18"/>
          <w:szCs w:val="18"/>
        </w:rPr>
        <w:t xml:space="preserve"> de erros formais, não tendo o condão de macular o certame.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Para tanto, passemos a tecer alguns comentários.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Ao atentar-se para as propostas apresentadas pelas empresas participantes, foi constatado que as empresas </w:t>
      </w:r>
      <w:r w:rsidRPr="0081151C">
        <w:rPr>
          <w:rFonts w:ascii="Verdana" w:hAnsi="Verdana" w:cs="Calibri"/>
          <w:sz w:val="18"/>
          <w:szCs w:val="18"/>
        </w:rPr>
        <w:t>BTN CONSTRUTORA DE OBRAS EIRELI</w:t>
      </w:r>
      <w:r>
        <w:rPr>
          <w:rFonts w:ascii="Verdana" w:hAnsi="Verdana" w:cs="Calibri"/>
          <w:sz w:val="18"/>
          <w:szCs w:val="18"/>
        </w:rPr>
        <w:t xml:space="preserve"> e </w:t>
      </w:r>
      <w:r w:rsidRPr="00225DE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A</w:t>
      </w:r>
      <w:r w:rsidRPr="0081151C">
        <w:rPr>
          <w:rFonts w:ascii="Verdana" w:hAnsi="Verdana" w:cs="Calibri"/>
          <w:sz w:val="18"/>
          <w:szCs w:val="18"/>
        </w:rPr>
        <w:t>UTEM ENGENHARIA LTDA</w:t>
      </w:r>
      <w:r>
        <w:rPr>
          <w:rFonts w:ascii="Verdana" w:hAnsi="Verdana" w:cstheme="minorHAnsi"/>
          <w:sz w:val="18"/>
          <w:szCs w:val="18"/>
        </w:rPr>
        <w:t>,  além de apresentarem suas propostas com valores unitários com mais de duas casas decimais, elaboraram seus cronogramas físicos financeiros com estes valores de erros formais também</w:t>
      </w:r>
      <w:r w:rsidR="00D56962">
        <w:rPr>
          <w:rFonts w:ascii="Verdana" w:hAnsi="Verdana" w:cstheme="minorHAnsi"/>
          <w:sz w:val="18"/>
          <w:szCs w:val="18"/>
        </w:rPr>
        <w:t>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 xml:space="preserve">Contudo, tais equívocos podem sim, </w:t>
      </w:r>
      <w:proofErr w:type="gramStart"/>
      <w:r>
        <w:rPr>
          <w:rFonts w:ascii="Verdana" w:hAnsi="Verdana" w:cstheme="minorHAnsi"/>
          <w:sz w:val="18"/>
          <w:szCs w:val="18"/>
        </w:rPr>
        <w:t>ser</w:t>
      </w:r>
      <w:proofErr w:type="gramEnd"/>
      <w:r>
        <w:rPr>
          <w:rFonts w:ascii="Verdana" w:hAnsi="Verdana" w:cstheme="minorHAnsi"/>
          <w:sz w:val="18"/>
          <w:szCs w:val="18"/>
        </w:rPr>
        <w:t xml:space="preserve"> considerados erros formais, perfeitamente sanáveis sem qualquer prejuízo para a Administração. Tanto as propostas, quanto o cronograma físico financeiro não implicam na nulidade da proposta. Primeiro por se tratarem de erros de arredondamento. 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Para que não pairem quaisquer dúvidas em relação </w:t>
      </w:r>
      <w:proofErr w:type="gramStart"/>
      <w:r>
        <w:rPr>
          <w:rFonts w:ascii="Verdana" w:hAnsi="Verdana" w:cstheme="minorHAnsi"/>
          <w:sz w:val="18"/>
          <w:szCs w:val="18"/>
        </w:rPr>
        <w:t>à</w:t>
      </w:r>
      <w:proofErr w:type="gramEnd"/>
      <w:r>
        <w:rPr>
          <w:rFonts w:ascii="Verdana" w:hAnsi="Verdana" w:cstheme="minorHAnsi"/>
          <w:sz w:val="18"/>
          <w:szCs w:val="18"/>
        </w:rPr>
        <w:t xml:space="preserve"> presente decisão, imprescindível aprofundar-se mais no tema.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 w:rsidRPr="009333E0">
        <w:rPr>
          <w:rFonts w:ascii="Verdana" w:hAnsi="Verdana" w:cstheme="minorHAnsi"/>
          <w:sz w:val="18"/>
          <w:szCs w:val="18"/>
        </w:rPr>
        <w:t xml:space="preserve">O principal objetivo </w:t>
      </w:r>
      <w:r>
        <w:rPr>
          <w:rFonts w:ascii="Verdana" w:hAnsi="Verdana" w:cstheme="minorHAnsi"/>
          <w:sz w:val="18"/>
          <w:szCs w:val="18"/>
        </w:rPr>
        <w:t>da licitação</w:t>
      </w:r>
      <w:r w:rsidRPr="009333E0">
        <w:rPr>
          <w:rFonts w:ascii="Verdana" w:hAnsi="Verdana" w:cstheme="minorHAnsi"/>
          <w:sz w:val="18"/>
          <w:szCs w:val="18"/>
        </w:rPr>
        <w:t xml:space="preserve">, como </w:t>
      </w:r>
      <w:r>
        <w:rPr>
          <w:rFonts w:ascii="Verdana" w:hAnsi="Verdana" w:cstheme="minorHAnsi"/>
          <w:sz w:val="18"/>
          <w:szCs w:val="18"/>
        </w:rPr>
        <w:t>é sabido</w:t>
      </w:r>
      <w:r w:rsidRPr="009333E0">
        <w:rPr>
          <w:rFonts w:ascii="Verdana" w:hAnsi="Verdana" w:cstheme="minorHAnsi"/>
          <w:sz w:val="18"/>
          <w:szCs w:val="18"/>
        </w:rPr>
        <w:t xml:space="preserve">, é </w:t>
      </w:r>
      <w:r>
        <w:rPr>
          <w:rFonts w:ascii="Verdana" w:hAnsi="Verdana" w:cstheme="minorHAnsi"/>
          <w:sz w:val="18"/>
          <w:szCs w:val="18"/>
        </w:rPr>
        <w:t xml:space="preserve">o de </w:t>
      </w:r>
      <w:r w:rsidRPr="009333E0">
        <w:rPr>
          <w:rFonts w:ascii="Verdana" w:hAnsi="Verdana" w:cstheme="minorHAnsi"/>
          <w:sz w:val="18"/>
          <w:szCs w:val="18"/>
        </w:rPr>
        <w:t>suprir demandas de serviços e bens no preço mais vantajoso possível, atendendo-se, desta forma, o princípio do interesse público.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Não permitir</w:t>
      </w:r>
      <w:r w:rsidRPr="009333E0">
        <w:rPr>
          <w:rFonts w:ascii="Verdana" w:hAnsi="Verdana" w:cstheme="minorHAnsi"/>
          <w:sz w:val="18"/>
          <w:szCs w:val="18"/>
        </w:rPr>
        <w:t xml:space="preserve">, portanto, que um licitante </w:t>
      </w:r>
      <w:r>
        <w:rPr>
          <w:rFonts w:ascii="Verdana" w:hAnsi="Verdana" w:cstheme="minorHAnsi"/>
          <w:sz w:val="18"/>
          <w:szCs w:val="18"/>
        </w:rPr>
        <w:t>seja classificado</w:t>
      </w:r>
      <w:r w:rsidRPr="009333E0">
        <w:rPr>
          <w:rFonts w:ascii="Verdana" w:hAnsi="Verdana" w:cstheme="minorHAnsi"/>
          <w:sz w:val="18"/>
          <w:szCs w:val="18"/>
        </w:rPr>
        <w:t xml:space="preserve"> ou tenha o objeto licitatório adjudicado por meros erros formais, o chamado formalismo exacerbado, pode vir a impedir o cumprimento desta finalidade precípua da licitação.</w:t>
      </w:r>
    </w:p>
    <w:p w:rsidR="00410C2F" w:rsidRDefault="00410C2F" w:rsidP="00410C2F">
      <w:pPr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Entende-se que a</w:t>
      </w:r>
      <w:r w:rsidRPr="009333E0">
        <w:rPr>
          <w:rFonts w:ascii="Verdana" w:hAnsi="Verdana" w:cstheme="minorHAnsi"/>
          <w:sz w:val="18"/>
          <w:szCs w:val="18"/>
        </w:rPr>
        <w:t xml:space="preserve"> desclassificação da empresa licitante deve </w:t>
      </w:r>
      <w:r>
        <w:rPr>
          <w:rFonts w:ascii="Verdana" w:hAnsi="Verdana" w:cstheme="minorHAnsi"/>
          <w:sz w:val="18"/>
          <w:szCs w:val="18"/>
        </w:rPr>
        <w:t xml:space="preserve">prevalecer </w:t>
      </w:r>
      <w:r w:rsidRPr="009333E0">
        <w:rPr>
          <w:rFonts w:ascii="Verdana" w:hAnsi="Verdana" w:cstheme="minorHAnsi"/>
          <w:sz w:val="18"/>
          <w:szCs w:val="18"/>
        </w:rPr>
        <w:t>somente quando forem infringidos valores jurídicos relevantes, de modo a comprometer os fins visados e não quando podem ser supridos de forma imediata e sem qualquer prejuízo aos demais participantes e à Administração Pública.</w:t>
      </w:r>
    </w:p>
    <w:p w:rsidR="00410C2F" w:rsidRPr="00A97627" w:rsidRDefault="00410C2F" w:rsidP="00410C2F">
      <w:pPr>
        <w:spacing w:beforeAutospacing="1" w:after="100" w:afterAutospacing="1" w:line="240" w:lineRule="auto"/>
        <w:ind w:firstLine="226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Neste sentido,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pt-BR"/>
        </w:rPr>
        <w:t>encontra-se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na doutrina inúmeras opiniões que o </w:t>
      </w:r>
      <w:r w:rsidRPr="00A97627">
        <w:rPr>
          <w:rFonts w:ascii="Verdana" w:eastAsia="Times New Roman" w:hAnsi="Verdana" w:cs="Times New Roman"/>
          <w:sz w:val="18"/>
          <w:szCs w:val="18"/>
          <w:lang w:eastAsia="pt-BR"/>
        </w:rPr>
        <w:t>erro formal não vicia e nem torna inválido o documento. Haverá um erro formal no documento quando for possível, pelo contexto e pelas circunstâncias, identificar a coisa ou validar o ato.</w:t>
      </w:r>
    </w:p>
    <w:p w:rsidR="00410C2F" w:rsidRDefault="00410C2F" w:rsidP="00410C2F">
      <w:pPr>
        <w:spacing w:beforeAutospacing="1" w:after="100" w:afterAutospacing="1" w:line="240" w:lineRule="auto"/>
        <w:ind w:firstLine="2268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A97627">
        <w:rPr>
          <w:rFonts w:ascii="Verdana" w:eastAsia="Times New Roman" w:hAnsi="Verdana" w:cs="Times New Roman"/>
          <w:sz w:val="18"/>
          <w:szCs w:val="18"/>
          <w:lang w:eastAsia="pt-BR"/>
        </w:rPr>
        <w:t xml:space="preserve">Se um documento 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for elaborado</w:t>
      </w:r>
      <w:r w:rsidRPr="00A97627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de forma diferente da exigida, mas alcançou os objetivos pretendidos ou a finalidade essencial, reputar-se-á válido (ex.: uma proposta foi manuscrita quando deveria ser datilografada ou impressa; uma proposta foi apresentada em modelo diverso do edital, mas obedeceu a todo conteúdo exigido).  Segundo o princípio da instrumentalidade considerar-se-á válido um documento que, embora produzido de forma diferente da exigida, ainda assim, atingir a finalidade pretendida.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:rsidR="00410C2F" w:rsidRDefault="00410C2F" w:rsidP="00410C2F">
      <w:pPr>
        <w:spacing w:beforeAutospacing="1" w:after="100" w:afterAutospacing="1" w:line="240" w:lineRule="auto"/>
        <w:ind w:firstLine="2268"/>
        <w:jc w:val="both"/>
        <w:rPr>
          <w:rFonts w:ascii="Verdana" w:hAnsi="Verdana" w:cstheme="minorHAnsi"/>
          <w:sz w:val="18"/>
          <w:szCs w:val="18"/>
        </w:rPr>
      </w:pPr>
      <w:proofErr w:type="gramStart"/>
      <w:r>
        <w:rPr>
          <w:rFonts w:ascii="Verdana" w:hAnsi="Verdana" w:cstheme="minorHAnsi"/>
          <w:sz w:val="18"/>
          <w:szCs w:val="18"/>
        </w:rPr>
        <w:t>Quanto à diferença nos valores das propostas, o</w:t>
      </w:r>
      <w:r w:rsidRPr="009333E0">
        <w:rPr>
          <w:rFonts w:ascii="Verdana" w:hAnsi="Verdana" w:cstheme="minorHAnsi"/>
          <w:sz w:val="18"/>
          <w:szCs w:val="18"/>
        </w:rPr>
        <w:t xml:space="preserve"> afastamento de uma contratação mais vantajosa pelo simples fato de existir um erro formal, no caso </w:t>
      </w:r>
      <w:r>
        <w:rPr>
          <w:rFonts w:ascii="Verdana" w:hAnsi="Verdana" w:cstheme="minorHAnsi"/>
          <w:sz w:val="18"/>
          <w:szCs w:val="18"/>
        </w:rPr>
        <w:t>em tela</w:t>
      </w:r>
      <w:r w:rsidRPr="009333E0">
        <w:rPr>
          <w:rFonts w:ascii="Verdana" w:hAnsi="Verdana" w:cstheme="minorHAnsi"/>
          <w:sz w:val="18"/>
          <w:szCs w:val="18"/>
        </w:rPr>
        <w:t xml:space="preserve">, um erro de </w:t>
      </w:r>
      <w:r>
        <w:rPr>
          <w:rFonts w:ascii="Verdana" w:hAnsi="Verdana" w:cstheme="minorHAnsi"/>
          <w:sz w:val="18"/>
          <w:szCs w:val="18"/>
        </w:rPr>
        <w:t>arredondamento</w:t>
      </w:r>
      <w:r w:rsidRPr="009333E0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 xml:space="preserve">pode </w:t>
      </w:r>
      <w:r w:rsidRPr="009333E0">
        <w:rPr>
          <w:rFonts w:ascii="Verdana" w:hAnsi="Verdana" w:cstheme="minorHAnsi"/>
          <w:sz w:val="18"/>
          <w:szCs w:val="18"/>
        </w:rPr>
        <w:t>constitui uma verdadeira violação à ordem jurídica, em especial aos princípios da competitividade, da economicidade e da razoabilidade e proporcionalidade, bem como da eficiência, afastando-se uma contratação mais vantajosa e onerando os cofres públicos sem qualquer necessidade.</w:t>
      </w:r>
      <w:proofErr w:type="gramEnd"/>
    </w:p>
    <w:p w:rsidR="00410C2F" w:rsidRPr="005051FD" w:rsidRDefault="00410C2F" w:rsidP="00410C2F">
      <w:pPr>
        <w:spacing w:beforeAutospacing="1" w:after="100" w:afterAutospacing="1" w:line="240" w:lineRule="auto"/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 mestre </w:t>
      </w:r>
      <w:r w:rsidRPr="005051FD">
        <w:rPr>
          <w:rFonts w:ascii="Verdana" w:hAnsi="Verdana" w:cstheme="minorHAnsi"/>
          <w:sz w:val="18"/>
          <w:szCs w:val="18"/>
        </w:rPr>
        <w:t xml:space="preserve">Marçal </w:t>
      </w:r>
      <w:r>
        <w:rPr>
          <w:rFonts w:ascii="Verdana" w:hAnsi="Verdana" w:cstheme="minorHAnsi"/>
          <w:sz w:val="18"/>
          <w:szCs w:val="18"/>
        </w:rPr>
        <w:t>Justem Filho, in Comentários à Lei de Li</w:t>
      </w:r>
      <w:r w:rsidRPr="005051FD">
        <w:rPr>
          <w:rFonts w:ascii="Verdana" w:hAnsi="Verdana" w:cstheme="minorHAnsi"/>
          <w:sz w:val="18"/>
          <w:szCs w:val="18"/>
        </w:rPr>
        <w:t xml:space="preserve">citações e contratos administrativos, 13. </w:t>
      </w:r>
      <w:proofErr w:type="spellStart"/>
      <w:proofErr w:type="gramStart"/>
      <w:r w:rsidRPr="005051FD">
        <w:rPr>
          <w:rFonts w:ascii="Verdana" w:hAnsi="Verdana" w:cstheme="minorHAnsi"/>
          <w:sz w:val="18"/>
          <w:szCs w:val="18"/>
        </w:rPr>
        <w:t>ed</w:t>
      </w:r>
      <w:proofErr w:type="spellEnd"/>
      <w:proofErr w:type="gramEnd"/>
      <w:r w:rsidRPr="005051FD">
        <w:rPr>
          <w:rFonts w:ascii="Verdana" w:hAnsi="Verdana" w:cstheme="minorHAnsi"/>
          <w:sz w:val="18"/>
          <w:szCs w:val="18"/>
        </w:rPr>
        <w:t xml:space="preserve">, p. 76, ao tratar do princípio da proporcionalidade ensina, in </w:t>
      </w:r>
      <w:proofErr w:type="spellStart"/>
      <w:r w:rsidRPr="005051FD">
        <w:rPr>
          <w:rFonts w:ascii="Verdana" w:hAnsi="Verdana" w:cstheme="minorHAnsi"/>
          <w:sz w:val="18"/>
          <w:szCs w:val="18"/>
        </w:rPr>
        <w:t>verbis</w:t>
      </w:r>
      <w:proofErr w:type="spellEnd"/>
      <w:r w:rsidRPr="005051FD">
        <w:rPr>
          <w:rFonts w:ascii="Verdana" w:hAnsi="Verdana" w:cstheme="minorHAnsi"/>
          <w:sz w:val="18"/>
          <w:szCs w:val="18"/>
        </w:rPr>
        <w:t>:</w:t>
      </w:r>
    </w:p>
    <w:p w:rsidR="00410C2F" w:rsidRDefault="00410C2F" w:rsidP="00410C2F">
      <w:pPr>
        <w:spacing w:beforeAutospacing="1" w:after="100" w:afterAutospacing="1" w:line="240" w:lineRule="auto"/>
        <w:ind w:left="2127"/>
        <w:jc w:val="both"/>
        <w:rPr>
          <w:rFonts w:ascii="Verdana" w:hAnsi="Verdana" w:cstheme="minorHAnsi"/>
          <w:sz w:val="18"/>
          <w:szCs w:val="18"/>
        </w:rPr>
      </w:pPr>
      <w:r w:rsidRPr="005051FD">
        <w:rPr>
          <w:rFonts w:ascii="Verdana" w:hAnsi="Verdana" w:cstheme="minorHAnsi"/>
          <w:sz w:val="18"/>
          <w:szCs w:val="18"/>
        </w:rPr>
        <w:t>"</w:t>
      </w:r>
      <w:r w:rsidRPr="005051FD">
        <w:rPr>
          <w:rFonts w:ascii="Verdana" w:hAnsi="Verdana" w:cstheme="minorHAnsi"/>
          <w:i/>
          <w:sz w:val="18"/>
          <w:szCs w:val="18"/>
        </w:rPr>
        <w:t xml:space="preserve">O princípio da proporcionalidade restringe o exercício das competências públicas, proibindo o excesso. A medida limite é a salvaguarda dos interesses públicos e privados em jogo. Incumbe ao Estado adotar a medida menos danosa possível, através da compatibilização entre os interesses sacrificados e aqueles que se pretende proteger. Os princípios da proporcionalidade e da </w:t>
      </w:r>
      <w:r w:rsidRPr="005051FD">
        <w:rPr>
          <w:rFonts w:ascii="Verdana" w:hAnsi="Verdana" w:cstheme="minorHAnsi"/>
          <w:i/>
          <w:sz w:val="18"/>
          <w:szCs w:val="18"/>
        </w:rPr>
        <w:lastRenderedPageBreak/>
        <w:t>razoabilidade acarretam a impossibilidade de impor consequências de severidade incompatível com a irrelevância de defeitos. Sob esse ângulo, as exigências da lei ou do Edital devem ser interpretadas como instrumentais</w:t>
      </w:r>
      <w:r w:rsidRPr="005051FD">
        <w:rPr>
          <w:rFonts w:ascii="Verdana" w:hAnsi="Verdana" w:cstheme="minorHAnsi"/>
          <w:sz w:val="18"/>
          <w:szCs w:val="18"/>
        </w:rPr>
        <w:t>."</w:t>
      </w:r>
    </w:p>
    <w:p w:rsidR="00410C2F" w:rsidRDefault="00410C2F" w:rsidP="00410C2F">
      <w:pPr>
        <w:spacing w:beforeAutospacing="1" w:after="100" w:afterAutospacing="1" w:line="240" w:lineRule="auto"/>
        <w:ind w:firstLine="212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A doutrina também conclui</w:t>
      </w:r>
      <w:r w:rsidRPr="005051FD">
        <w:rPr>
          <w:rFonts w:ascii="Verdana" w:hAnsi="Verdana" w:cstheme="minorHAnsi"/>
          <w:sz w:val="18"/>
          <w:szCs w:val="18"/>
        </w:rPr>
        <w:t xml:space="preserve"> que eventuais erros de natureza formal,</w:t>
      </w:r>
      <w:r>
        <w:rPr>
          <w:rFonts w:ascii="Verdana" w:hAnsi="Verdana" w:cstheme="minorHAnsi"/>
          <w:sz w:val="18"/>
          <w:szCs w:val="18"/>
        </w:rPr>
        <w:t xml:space="preserve"> quando da elaboração </w:t>
      </w:r>
      <w:r w:rsidRPr="005051FD">
        <w:rPr>
          <w:rFonts w:ascii="Verdana" w:hAnsi="Verdana" w:cstheme="minorHAnsi"/>
          <w:sz w:val="18"/>
          <w:szCs w:val="18"/>
        </w:rPr>
        <w:t xml:space="preserve">da proposta não devem implicar na </w:t>
      </w:r>
      <w:r>
        <w:rPr>
          <w:rFonts w:ascii="Verdana" w:hAnsi="Verdana" w:cstheme="minorHAnsi"/>
          <w:sz w:val="18"/>
          <w:szCs w:val="18"/>
        </w:rPr>
        <w:t>desclassificação</w:t>
      </w:r>
      <w:r w:rsidRPr="005051FD">
        <w:rPr>
          <w:rFonts w:ascii="Verdana" w:hAnsi="Verdana" w:cstheme="minorHAnsi"/>
          <w:sz w:val="18"/>
          <w:szCs w:val="18"/>
        </w:rPr>
        <w:t xml:space="preserve"> automática do licitante. Muito pelo contrário, uma vez verificado o equívoco na proposta da licitante, deve o órgão licitante conceder prazo para a regularização do erro, possibilitando, assim, o ajuste da proposta apresentada.</w:t>
      </w:r>
    </w:p>
    <w:p w:rsidR="00410C2F" w:rsidRPr="005051FD" w:rsidRDefault="00410C2F" w:rsidP="00410C2F">
      <w:pPr>
        <w:spacing w:beforeAutospacing="1" w:after="100" w:afterAutospacing="1" w:line="240" w:lineRule="auto"/>
        <w:ind w:firstLine="2268"/>
        <w:jc w:val="both"/>
        <w:rPr>
          <w:rFonts w:ascii="Verdana" w:hAnsi="Verdana" w:cstheme="minorHAnsi"/>
          <w:sz w:val="18"/>
          <w:szCs w:val="18"/>
        </w:rPr>
      </w:pPr>
      <w:r w:rsidRPr="005051FD">
        <w:rPr>
          <w:rFonts w:ascii="Verdana" w:hAnsi="Verdana" w:cstheme="minorHAnsi"/>
          <w:sz w:val="18"/>
          <w:szCs w:val="18"/>
        </w:rPr>
        <w:t>O Tribunal de Contas da União possui diversos Enunciados neste sentido:</w:t>
      </w:r>
    </w:p>
    <w:p w:rsidR="00410C2F" w:rsidRDefault="00410C2F" w:rsidP="00410C2F">
      <w:pPr>
        <w:spacing w:beforeAutospacing="1" w:after="100" w:afterAutospacing="1" w:line="240" w:lineRule="auto"/>
        <w:ind w:left="2268"/>
        <w:jc w:val="both"/>
        <w:rPr>
          <w:rFonts w:ascii="Verdana" w:hAnsi="Verdana" w:cstheme="minorHAnsi"/>
          <w:sz w:val="18"/>
          <w:szCs w:val="18"/>
        </w:rPr>
      </w:pPr>
      <w:proofErr w:type="gramStart"/>
      <w:r>
        <w:rPr>
          <w:rFonts w:ascii="Verdana" w:hAnsi="Verdana" w:cstheme="minorHAnsi"/>
          <w:sz w:val="18"/>
          <w:szCs w:val="18"/>
        </w:rPr>
        <w:t>“</w:t>
      </w:r>
      <w:r w:rsidRPr="005051FD">
        <w:rPr>
          <w:rFonts w:ascii="Verdana" w:hAnsi="Verdana" w:cstheme="minorHAnsi"/>
          <w:i/>
          <w:sz w:val="18"/>
          <w:szCs w:val="18"/>
        </w:rPr>
        <w:t>No curso de procedimentos licitatórios, a Administração Pública deve pautar-se pelo princípio do formalismo moderado, que prescreve a adoção de formas simples e suficientes para propiciar adequado grau de certeza, segurança e respeito aos direitos dos administrados, promovendo, assim, a prevalência do conteúdo sobre o formalismo extremo, respeitadas, ainda, as praxes essenciais à proteção das prerrogativas dos administrados.</w:t>
      </w:r>
      <w:proofErr w:type="gramEnd"/>
      <w:r w:rsidRPr="005051FD">
        <w:rPr>
          <w:rFonts w:ascii="Verdana" w:hAnsi="Verdana" w:cstheme="minorHAnsi"/>
          <w:i/>
          <w:sz w:val="18"/>
          <w:szCs w:val="18"/>
        </w:rPr>
        <w:t xml:space="preserve"> (TCU no acórdão 357/2015-Plenário)”.</w:t>
      </w:r>
    </w:p>
    <w:p w:rsidR="00410C2F" w:rsidRPr="005051FD" w:rsidRDefault="00410C2F" w:rsidP="00410C2F">
      <w:pPr>
        <w:spacing w:beforeAutospacing="1" w:after="100" w:afterAutospacing="1" w:line="240" w:lineRule="auto"/>
        <w:ind w:left="2268"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“</w:t>
      </w:r>
      <w:r w:rsidRPr="005051FD">
        <w:rPr>
          <w:rFonts w:ascii="Verdana" w:hAnsi="Verdana" w:cstheme="minorHAnsi"/>
          <w:i/>
          <w:sz w:val="18"/>
          <w:szCs w:val="18"/>
        </w:rPr>
        <w:t>A existência de erros materiais ou de omissões nas planilhas de custos e preços das licitantes não enseja a desclassificação antecipada das respectivas propostas, devendo a Administração contratante realizar diligências junto às licitantes para a devida correção das falhas, desde que não seja alterado o valor global proposto. Cabe à licitante suportar o ônus decorrente do seu erro, no caso de a Administração considerar exequível a proposta apresentada. (Acórdão 2546/2015-Plenário)</w:t>
      </w:r>
      <w:r>
        <w:rPr>
          <w:rFonts w:ascii="Verdana" w:hAnsi="Verdana" w:cstheme="minorHAnsi"/>
          <w:i/>
          <w:sz w:val="18"/>
          <w:szCs w:val="18"/>
        </w:rPr>
        <w:t>”</w:t>
      </w:r>
      <w:r w:rsidRPr="005051FD">
        <w:rPr>
          <w:rFonts w:ascii="Verdana" w:hAnsi="Verdana" w:cstheme="minorHAnsi"/>
          <w:i/>
          <w:sz w:val="18"/>
          <w:szCs w:val="18"/>
        </w:rPr>
        <w:t>.</w:t>
      </w:r>
    </w:p>
    <w:p w:rsidR="00410C2F" w:rsidRPr="005051FD" w:rsidRDefault="00410C2F" w:rsidP="00410C2F">
      <w:pPr>
        <w:spacing w:beforeAutospacing="1" w:after="100" w:afterAutospacing="1" w:line="240" w:lineRule="auto"/>
        <w:ind w:left="2268"/>
        <w:jc w:val="both"/>
        <w:rPr>
          <w:rFonts w:ascii="Verdana" w:hAnsi="Verdana" w:cstheme="minorHAnsi"/>
          <w:i/>
          <w:sz w:val="18"/>
          <w:szCs w:val="18"/>
        </w:rPr>
      </w:pPr>
      <w:r w:rsidRPr="005051FD">
        <w:rPr>
          <w:rFonts w:ascii="Verdana" w:hAnsi="Verdana" w:cstheme="minorHAnsi"/>
          <w:i/>
          <w:sz w:val="18"/>
          <w:szCs w:val="18"/>
        </w:rPr>
        <w:t>Licitação. Julgamento. Erros materiais. É possível o aproveitamento de propostas com erros materiais sanáveis, que não prejudicam o teor das ofertas, uma vez que isso não se mostra danoso ao interesse público ou aos princípios da isonomia e da razoabilidade. (Acórdão 187/2014 Plenário - Representação, Relator Ministro Valmir Campelo)</w:t>
      </w:r>
      <w:r>
        <w:rPr>
          <w:rFonts w:ascii="Verdana" w:hAnsi="Verdana" w:cstheme="minorHAnsi"/>
          <w:i/>
          <w:sz w:val="18"/>
          <w:szCs w:val="18"/>
        </w:rPr>
        <w:t>.</w:t>
      </w:r>
      <w:r w:rsidRPr="005051FD">
        <w:rPr>
          <w:rFonts w:ascii="Verdana" w:hAnsi="Verdana" w:cstheme="minorHAnsi"/>
          <w:i/>
          <w:sz w:val="18"/>
          <w:szCs w:val="18"/>
        </w:rPr>
        <w:t xml:space="preserve"> </w:t>
      </w:r>
    </w:p>
    <w:p w:rsidR="00410C2F" w:rsidRPr="005051FD" w:rsidRDefault="00410C2F" w:rsidP="00410C2F">
      <w:pPr>
        <w:spacing w:beforeAutospacing="1" w:after="100" w:afterAutospacing="1" w:line="240" w:lineRule="auto"/>
        <w:ind w:left="2268"/>
        <w:jc w:val="both"/>
        <w:rPr>
          <w:rFonts w:ascii="Verdana" w:hAnsi="Verdana" w:cstheme="minorHAnsi"/>
          <w:i/>
          <w:sz w:val="18"/>
          <w:szCs w:val="18"/>
        </w:rPr>
      </w:pPr>
      <w:r w:rsidRPr="005051FD">
        <w:rPr>
          <w:rFonts w:ascii="Verdana" w:hAnsi="Verdana" w:cstheme="minorHAnsi"/>
          <w:i/>
          <w:sz w:val="18"/>
          <w:szCs w:val="18"/>
        </w:rPr>
        <w:t>Não restando configurada a lesão à obtenção da melhor proposta, não se configura a nulidade do ato. Erro no preenchimento da planilha de formação de preço do licitante não constitui motivo suficiente para a desclassificação da proposta, quando a planilha puder ser ajustada sem a necessidade de majoração do preço ofertado. (Acórdão 1811/2014-Plenário)</w:t>
      </w:r>
    </w:p>
    <w:p w:rsidR="00410C2F" w:rsidRPr="00070A62" w:rsidRDefault="00410C2F" w:rsidP="00410C2F">
      <w:pPr>
        <w:spacing w:beforeAutospacing="1" w:after="100" w:afterAutospacing="1" w:line="240" w:lineRule="auto"/>
        <w:ind w:left="2268"/>
        <w:jc w:val="both"/>
        <w:rPr>
          <w:rFonts w:ascii="Verdana" w:hAnsi="Verdana" w:cstheme="minorHAnsi"/>
          <w:i/>
          <w:sz w:val="18"/>
          <w:szCs w:val="18"/>
        </w:rPr>
      </w:pPr>
      <w:r w:rsidRPr="00070A62">
        <w:rPr>
          <w:rFonts w:ascii="Verdana" w:hAnsi="Verdana" w:cstheme="minorHAnsi"/>
          <w:i/>
          <w:sz w:val="18"/>
          <w:szCs w:val="18"/>
        </w:rPr>
        <w:t>Falhas meramente formais, sanáveis durante o processo licitatório, não devem levar à desclassificação de licitante. (Acórdão 2872/2010-Plenário)</w:t>
      </w:r>
    </w:p>
    <w:p w:rsidR="00332E27" w:rsidRDefault="00332E27" w:rsidP="00332E27">
      <w:pPr>
        <w:spacing w:beforeAutospacing="1" w:after="100" w:afterAutospacing="1" w:line="240" w:lineRule="auto"/>
        <w:ind w:firstLine="212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>Diante</w:t>
      </w:r>
      <w:r w:rsidR="005321B9">
        <w:rPr>
          <w:rFonts w:ascii="Verdana" w:hAnsi="Verdana" w:cstheme="minorHAnsi"/>
          <w:sz w:val="18"/>
          <w:szCs w:val="18"/>
        </w:rPr>
        <w:t xml:space="preserve"> ao exposto, a Comissão Permanente de Licitações</w:t>
      </w:r>
      <w:r>
        <w:rPr>
          <w:rFonts w:ascii="Verdana" w:hAnsi="Verdana" w:cstheme="minorHAnsi"/>
          <w:sz w:val="18"/>
          <w:szCs w:val="18"/>
        </w:rPr>
        <w:t xml:space="preserve"> </w:t>
      </w:r>
      <w:proofErr w:type="gramStart"/>
      <w:r>
        <w:rPr>
          <w:rFonts w:ascii="Verdana" w:hAnsi="Verdana" w:cstheme="minorHAnsi"/>
          <w:sz w:val="18"/>
          <w:szCs w:val="18"/>
        </w:rPr>
        <w:t>face a</w:t>
      </w:r>
      <w:proofErr w:type="gramEnd"/>
      <w:r>
        <w:rPr>
          <w:rFonts w:ascii="Verdana" w:hAnsi="Verdana" w:cstheme="minorHAnsi"/>
          <w:sz w:val="18"/>
          <w:szCs w:val="18"/>
        </w:rPr>
        <w:t xml:space="preserve"> doutrina, também conclui</w:t>
      </w:r>
      <w:r w:rsidRPr="005051FD">
        <w:rPr>
          <w:rFonts w:ascii="Verdana" w:hAnsi="Verdana" w:cstheme="minorHAnsi"/>
          <w:sz w:val="18"/>
          <w:szCs w:val="18"/>
        </w:rPr>
        <w:t xml:space="preserve"> que eventuais erros de natureza formal,</w:t>
      </w:r>
      <w:r>
        <w:rPr>
          <w:rFonts w:ascii="Verdana" w:hAnsi="Verdana" w:cstheme="minorHAnsi"/>
          <w:sz w:val="18"/>
          <w:szCs w:val="18"/>
        </w:rPr>
        <w:t xml:space="preserve"> quando da elaboração </w:t>
      </w:r>
      <w:r w:rsidRPr="005051FD">
        <w:rPr>
          <w:rFonts w:ascii="Verdana" w:hAnsi="Verdana" w:cstheme="minorHAnsi"/>
          <w:sz w:val="18"/>
          <w:szCs w:val="18"/>
        </w:rPr>
        <w:t xml:space="preserve">da proposta não devem implicar na </w:t>
      </w:r>
      <w:r>
        <w:rPr>
          <w:rFonts w:ascii="Verdana" w:hAnsi="Verdana" w:cstheme="minorHAnsi"/>
          <w:sz w:val="18"/>
          <w:szCs w:val="18"/>
        </w:rPr>
        <w:t>desclassificação</w:t>
      </w:r>
      <w:r w:rsidRPr="005051FD">
        <w:rPr>
          <w:rFonts w:ascii="Verdana" w:hAnsi="Verdana" w:cstheme="minorHAnsi"/>
          <w:sz w:val="18"/>
          <w:szCs w:val="18"/>
        </w:rPr>
        <w:t xml:space="preserve"> automática do licitante. Muito pelo contrário, uma vez verificado o equívoco na proposta da licitante, deve o órgão licitante conceder prazo para a regularização do erro, possibilitando, assim, o ajuste da proposta apresentada.</w:t>
      </w:r>
    </w:p>
    <w:p w:rsidR="005321B9" w:rsidRDefault="009757C3" w:rsidP="005321B9">
      <w:pPr>
        <w:spacing w:beforeAutospacing="1" w:after="100" w:afterAutospacing="1" w:line="240" w:lineRule="auto"/>
        <w:ind w:firstLine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</w:t>
      </w:r>
      <w:r w:rsidR="005321B9">
        <w:rPr>
          <w:rFonts w:ascii="Verdana" w:hAnsi="Verdana" w:cstheme="minorHAnsi"/>
          <w:sz w:val="18"/>
          <w:szCs w:val="18"/>
        </w:rPr>
        <w:t xml:space="preserve">endo em vista que o menor preço foi </w:t>
      </w:r>
      <w:proofErr w:type="gramStart"/>
      <w:r w:rsidR="005321B9">
        <w:rPr>
          <w:rFonts w:ascii="Verdana" w:hAnsi="Verdana" w:cstheme="minorHAnsi"/>
          <w:sz w:val="18"/>
          <w:szCs w:val="18"/>
        </w:rPr>
        <w:t xml:space="preserve">ofertado pela empresa </w:t>
      </w:r>
      <w:r w:rsidRPr="0081151C">
        <w:rPr>
          <w:rFonts w:ascii="Verdana" w:hAnsi="Verdana" w:cs="Calibri"/>
          <w:sz w:val="18"/>
          <w:szCs w:val="18"/>
        </w:rPr>
        <w:t>BTN CONSTRUTORA DE OBRAS</w:t>
      </w:r>
      <w:proofErr w:type="gramEnd"/>
      <w:r w:rsidRPr="0081151C">
        <w:rPr>
          <w:rFonts w:ascii="Verdana" w:hAnsi="Verdana" w:cs="Calibri"/>
          <w:sz w:val="18"/>
          <w:szCs w:val="18"/>
        </w:rPr>
        <w:t xml:space="preserve"> EIRELI</w:t>
      </w:r>
      <w:r w:rsidR="005321B9">
        <w:rPr>
          <w:rFonts w:ascii="Verdana" w:hAnsi="Verdana" w:cstheme="minorHAnsi"/>
          <w:sz w:val="18"/>
          <w:szCs w:val="18"/>
        </w:rPr>
        <w:t xml:space="preserve">, concede-se à mesma, o prazo de 03 (TRÊS) dias úteis, a contar do dia </w:t>
      </w:r>
      <w:r>
        <w:rPr>
          <w:rFonts w:ascii="Verdana" w:hAnsi="Verdana" w:cstheme="minorHAnsi"/>
          <w:sz w:val="18"/>
          <w:szCs w:val="18"/>
        </w:rPr>
        <w:t>30</w:t>
      </w:r>
      <w:r w:rsidR="005321B9">
        <w:rPr>
          <w:rFonts w:ascii="Verdana" w:hAnsi="Verdana" w:cstheme="minorHAnsi"/>
          <w:sz w:val="18"/>
          <w:szCs w:val="18"/>
        </w:rPr>
        <w:t xml:space="preserve"> de </w:t>
      </w:r>
      <w:r>
        <w:rPr>
          <w:rFonts w:ascii="Verdana" w:hAnsi="Verdana" w:cstheme="minorHAnsi"/>
          <w:sz w:val="18"/>
          <w:szCs w:val="18"/>
        </w:rPr>
        <w:t>Abril</w:t>
      </w:r>
      <w:r w:rsidR="005321B9">
        <w:rPr>
          <w:rFonts w:ascii="Verdana" w:hAnsi="Verdana" w:cstheme="minorHAnsi"/>
          <w:sz w:val="18"/>
          <w:szCs w:val="18"/>
        </w:rPr>
        <w:t xml:space="preserve"> de 2021, para que apresente sua proposta devidamente corrigida, sem prejuízo do valor apresentado.</w:t>
      </w:r>
    </w:p>
    <w:p w:rsidR="0034479C" w:rsidRDefault="0034479C" w:rsidP="00B639B6">
      <w:pPr>
        <w:spacing w:after="120"/>
        <w:jc w:val="center"/>
        <w:rPr>
          <w:rFonts w:eastAsia="Times New Roman" w:cstheme="minorHAnsi"/>
          <w:i/>
          <w:lang w:eastAsia="pt-BR"/>
        </w:rPr>
      </w:pPr>
    </w:p>
    <w:p w:rsidR="009757C3" w:rsidRDefault="009757C3" w:rsidP="00B639B6">
      <w:pPr>
        <w:spacing w:after="120"/>
        <w:jc w:val="center"/>
        <w:rPr>
          <w:rFonts w:eastAsia="Times New Roman" w:cstheme="minorHAnsi"/>
          <w:i/>
          <w:lang w:eastAsia="pt-BR"/>
        </w:rPr>
      </w:pP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 w:rsidRPr="00D22E1F"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3671"/>
      <w:docPartObj>
        <w:docPartGallery w:val="Page Numbers (Bottom of Page)"/>
        <w:docPartUnique/>
      </w:docPartObj>
    </w:sdtPr>
    <w:sdtContent>
      <w:p w:rsidR="00DB567C" w:rsidRDefault="00DB56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567C" w:rsidRDefault="00DB5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F"/>
    <w:rsid w:val="000019FF"/>
    <w:rsid w:val="00025817"/>
    <w:rsid w:val="0003416C"/>
    <w:rsid w:val="0004241E"/>
    <w:rsid w:val="00070A62"/>
    <w:rsid w:val="000922ED"/>
    <w:rsid w:val="00096CCA"/>
    <w:rsid w:val="000A4E2D"/>
    <w:rsid w:val="000D6D39"/>
    <w:rsid w:val="000F42DD"/>
    <w:rsid w:val="001105AF"/>
    <w:rsid w:val="00133696"/>
    <w:rsid w:val="001704EC"/>
    <w:rsid w:val="001D6C3F"/>
    <w:rsid w:val="001F2E9E"/>
    <w:rsid w:val="00201FB6"/>
    <w:rsid w:val="00225DE1"/>
    <w:rsid w:val="00237E83"/>
    <w:rsid w:val="00252620"/>
    <w:rsid w:val="002C4A19"/>
    <w:rsid w:val="00312CF2"/>
    <w:rsid w:val="00332E27"/>
    <w:rsid w:val="0034479C"/>
    <w:rsid w:val="00354CFA"/>
    <w:rsid w:val="00360D49"/>
    <w:rsid w:val="00364E3D"/>
    <w:rsid w:val="00365A24"/>
    <w:rsid w:val="00392CEF"/>
    <w:rsid w:val="003A030F"/>
    <w:rsid w:val="003A622E"/>
    <w:rsid w:val="003D3123"/>
    <w:rsid w:val="003F3A87"/>
    <w:rsid w:val="00410C2F"/>
    <w:rsid w:val="0047165D"/>
    <w:rsid w:val="00495BA9"/>
    <w:rsid w:val="004D6D6B"/>
    <w:rsid w:val="00500815"/>
    <w:rsid w:val="005051FD"/>
    <w:rsid w:val="00516224"/>
    <w:rsid w:val="005165CF"/>
    <w:rsid w:val="005321B9"/>
    <w:rsid w:val="00563347"/>
    <w:rsid w:val="005714EE"/>
    <w:rsid w:val="005D0B65"/>
    <w:rsid w:val="005D4AB3"/>
    <w:rsid w:val="0067065B"/>
    <w:rsid w:val="006C1392"/>
    <w:rsid w:val="00707090"/>
    <w:rsid w:val="0073148A"/>
    <w:rsid w:val="007C137D"/>
    <w:rsid w:val="007D4839"/>
    <w:rsid w:val="0081151C"/>
    <w:rsid w:val="008442EE"/>
    <w:rsid w:val="008508E8"/>
    <w:rsid w:val="008612B4"/>
    <w:rsid w:val="00871D82"/>
    <w:rsid w:val="00874CEC"/>
    <w:rsid w:val="0088437E"/>
    <w:rsid w:val="008E39A9"/>
    <w:rsid w:val="008E6FEB"/>
    <w:rsid w:val="008F7F74"/>
    <w:rsid w:val="00930955"/>
    <w:rsid w:val="009333E0"/>
    <w:rsid w:val="009757C3"/>
    <w:rsid w:val="009D025E"/>
    <w:rsid w:val="009D3FDD"/>
    <w:rsid w:val="009D7122"/>
    <w:rsid w:val="009E0DE3"/>
    <w:rsid w:val="009F64A4"/>
    <w:rsid w:val="00A3514A"/>
    <w:rsid w:val="00A97627"/>
    <w:rsid w:val="00AA1013"/>
    <w:rsid w:val="00AB2843"/>
    <w:rsid w:val="00AC61DD"/>
    <w:rsid w:val="00B639B6"/>
    <w:rsid w:val="00B65FF1"/>
    <w:rsid w:val="00B8011F"/>
    <w:rsid w:val="00B958BD"/>
    <w:rsid w:val="00C1604A"/>
    <w:rsid w:val="00C331C7"/>
    <w:rsid w:val="00C60373"/>
    <w:rsid w:val="00C63A71"/>
    <w:rsid w:val="00C656AE"/>
    <w:rsid w:val="00C7035E"/>
    <w:rsid w:val="00C77589"/>
    <w:rsid w:val="00C96153"/>
    <w:rsid w:val="00CF0AC3"/>
    <w:rsid w:val="00D15AB8"/>
    <w:rsid w:val="00D22E1F"/>
    <w:rsid w:val="00D40E75"/>
    <w:rsid w:val="00D56962"/>
    <w:rsid w:val="00D73432"/>
    <w:rsid w:val="00DB567C"/>
    <w:rsid w:val="00E268D3"/>
    <w:rsid w:val="00E348A7"/>
    <w:rsid w:val="00E46B4B"/>
    <w:rsid w:val="00E93DBD"/>
    <w:rsid w:val="00EC72A2"/>
    <w:rsid w:val="00ED39B3"/>
    <w:rsid w:val="00F139CD"/>
    <w:rsid w:val="00F43AD0"/>
    <w:rsid w:val="00F70EF9"/>
    <w:rsid w:val="00F72FE9"/>
    <w:rsid w:val="00FB7121"/>
    <w:rsid w:val="00FD18F9"/>
    <w:rsid w:val="00FE2631"/>
    <w:rsid w:val="00FE292C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E0D5-133E-49B6-9885-A478DC6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7</cp:revision>
  <cp:lastPrinted>2021-04-30T17:08:00Z</cp:lastPrinted>
  <dcterms:created xsi:type="dcterms:W3CDTF">2021-04-29T18:14:00Z</dcterms:created>
  <dcterms:modified xsi:type="dcterms:W3CDTF">2021-04-30T17:10:00Z</dcterms:modified>
</cp:coreProperties>
</file>