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07" w:rsidRPr="00D34B07" w:rsidRDefault="00D34B07" w:rsidP="00D34B07">
      <w:pPr>
        <w:jc w:val="center"/>
        <w:rPr>
          <w:rFonts w:ascii="Verdana" w:hAnsi="Verdana" w:cs="Arial"/>
          <w:b/>
          <w:sz w:val="18"/>
          <w:szCs w:val="18"/>
        </w:rPr>
      </w:pPr>
      <w:r w:rsidRPr="00D34B07">
        <w:rPr>
          <w:rFonts w:ascii="Verdana" w:hAnsi="Verdana" w:cs="Arial"/>
          <w:b/>
          <w:sz w:val="18"/>
          <w:szCs w:val="18"/>
        </w:rPr>
        <w:t>“EDITAL DE TOMADA DE PREÇOS N° 024</w:t>
      </w:r>
      <w:r w:rsidRPr="00D34B07">
        <w:rPr>
          <w:rFonts w:ascii="Verdana" w:hAnsi="Verdana" w:cs="Arial"/>
          <w:b/>
          <w:noProof/>
          <w:sz w:val="18"/>
          <w:szCs w:val="18"/>
        </w:rPr>
        <w:t>/2.019</w:t>
      </w:r>
      <w:r w:rsidRPr="00D34B07">
        <w:rPr>
          <w:rFonts w:ascii="Verdana" w:hAnsi="Verdana" w:cs="Arial"/>
          <w:b/>
          <w:sz w:val="18"/>
          <w:szCs w:val="18"/>
        </w:rPr>
        <w:t>”</w:t>
      </w:r>
    </w:p>
    <w:p w:rsidR="00D34B07" w:rsidRPr="00D34B07" w:rsidRDefault="00D34B07" w:rsidP="00D34B07">
      <w:pPr>
        <w:jc w:val="center"/>
        <w:rPr>
          <w:rFonts w:ascii="Verdana" w:hAnsi="Verdana" w:cs="Arial"/>
          <w:b/>
          <w:sz w:val="18"/>
          <w:szCs w:val="18"/>
        </w:rPr>
      </w:pPr>
      <w:r w:rsidRPr="00D34B07">
        <w:rPr>
          <w:rFonts w:ascii="Verdana" w:hAnsi="Verdana" w:cs="Arial"/>
          <w:b/>
          <w:sz w:val="18"/>
          <w:szCs w:val="18"/>
        </w:rPr>
        <w:t xml:space="preserve"> “DE: 13 </w:t>
      </w:r>
      <w:r w:rsidRPr="00D34B07">
        <w:rPr>
          <w:rFonts w:ascii="Verdana" w:hAnsi="Verdana" w:cs="Arial"/>
          <w:b/>
          <w:noProof/>
          <w:sz w:val="18"/>
          <w:szCs w:val="18"/>
        </w:rPr>
        <w:t>de SETEMBRO de 2.019</w:t>
      </w:r>
      <w:r w:rsidRPr="00D34B07">
        <w:rPr>
          <w:rFonts w:ascii="Verdana" w:hAnsi="Verdana" w:cs="Arial"/>
          <w:b/>
          <w:sz w:val="18"/>
          <w:szCs w:val="18"/>
        </w:rPr>
        <w:t>”</w:t>
      </w:r>
    </w:p>
    <w:p w:rsidR="00D34B07" w:rsidRPr="00D34B07" w:rsidRDefault="00D34B07" w:rsidP="00D34B07">
      <w:pPr>
        <w:rPr>
          <w:rFonts w:ascii="Verdana" w:hAnsi="Verdana"/>
          <w:sz w:val="18"/>
          <w:szCs w:val="18"/>
        </w:rPr>
      </w:pPr>
    </w:p>
    <w:p w:rsidR="00D34B07" w:rsidRPr="00D34B07" w:rsidRDefault="00D34B07" w:rsidP="00D34B07">
      <w:pPr>
        <w:rPr>
          <w:rFonts w:ascii="Verdana" w:hAnsi="Verdana"/>
          <w:sz w:val="18"/>
          <w:szCs w:val="18"/>
        </w:rPr>
      </w:pPr>
    </w:p>
    <w:p w:rsidR="00D34B07" w:rsidRDefault="00D34B07" w:rsidP="00D34B07">
      <w:pPr>
        <w:pStyle w:val="Ttulo2"/>
        <w:jc w:val="right"/>
        <w:rPr>
          <w:rFonts w:ascii="Verdana" w:hAnsi="Verdana"/>
          <w:b w:val="0"/>
          <w:i w:val="0"/>
          <w:sz w:val="18"/>
          <w:szCs w:val="18"/>
        </w:rPr>
      </w:pPr>
      <w:r w:rsidRPr="00D34B07">
        <w:rPr>
          <w:rFonts w:ascii="Verdana" w:hAnsi="Verdana"/>
          <w:b w:val="0"/>
          <w:i w:val="0"/>
          <w:sz w:val="18"/>
          <w:szCs w:val="18"/>
        </w:rPr>
        <w:t xml:space="preserve">Em </w:t>
      </w:r>
      <w:r>
        <w:rPr>
          <w:rFonts w:ascii="Verdana" w:hAnsi="Verdana"/>
          <w:b w:val="0"/>
          <w:i w:val="0"/>
          <w:sz w:val="18"/>
          <w:szCs w:val="18"/>
        </w:rPr>
        <w:t>0</w:t>
      </w:r>
      <w:r w:rsidR="00923945">
        <w:rPr>
          <w:rFonts w:ascii="Verdana" w:hAnsi="Verdana"/>
          <w:b w:val="0"/>
          <w:i w:val="0"/>
          <w:sz w:val="18"/>
          <w:szCs w:val="18"/>
        </w:rPr>
        <w:t>6</w:t>
      </w:r>
      <w:r w:rsidRPr="00D34B07">
        <w:rPr>
          <w:rFonts w:ascii="Verdana" w:hAnsi="Verdana"/>
          <w:b w:val="0"/>
          <w:i w:val="0"/>
          <w:sz w:val="18"/>
          <w:szCs w:val="18"/>
        </w:rPr>
        <w:t xml:space="preserve"> de </w:t>
      </w:r>
      <w:r>
        <w:rPr>
          <w:rFonts w:ascii="Verdana" w:hAnsi="Verdana"/>
          <w:b w:val="0"/>
          <w:i w:val="0"/>
          <w:sz w:val="18"/>
          <w:szCs w:val="18"/>
        </w:rPr>
        <w:t>novembro</w:t>
      </w:r>
      <w:r w:rsidRPr="00D34B07">
        <w:rPr>
          <w:rFonts w:ascii="Verdana" w:hAnsi="Verdana"/>
          <w:b w:val="0"/>
          <w:i w:val="0"/>
          <w:sz w:val="18"/>
          <w:szCs w:val="18"/>
        </w:rPr>
        <w:t xml:space="preserve"> de 2019.</w:t>
      </w:r>
    </w:p>
    <w:p w:rsidR="00D34B07" w:rsidRPr="00D34B07" w:rsidRDefault="00D34B07" w:rsidP="00D34B07">
      <w:pPr>
        <w:rPr>
          <w:lang w:eastAsia="pt-BR"/>
        </w:rPr>
      </w:pPr>
    </w:p>
    <w:p w:rsidR="00D34B07" w:rsidRDefault="00D34B07" w:rsidP="00D34B07">
      <w:pPr>
        <w:jc w:val="both"/>
        <w:rPr>
          <w:rFonts w:ascii="Verdana" w:hAnsi="Verdana" w:cs="Arial"/>
          <w:b/>
          <w:noProof/>
          <w:sz w:val="18"/>
          <w:szCs w:val="18"/>
        </w:rPr>
      </w:pPr>
      <w:r w:rsidRPr="00D34B07">
        <w:rPr>
          <w:rFonts w:ascii="Verdana" w:hAnsi="Verdana" w:cs="Arial"/>
          <w:b/>
          <w:sz w:val="18"/>
          <w:szCs w:val="18"/>
        </w:rPr>
        <w:t xml:space="preserve">TOMADA DE PREÇOS N° </w:t>
      </w:r>
      <w:r w:rsidRPr="00D34B07">
        <w:rPr>
          <w:rFonts w:ascii="Verdana" w:hAnsi="Verdana" w:cs="Arial"/>
          <w:b/>
          <w:noProof/>
          <w:sz w:val="18"/>
          <w:szCs w:val="18"/>
        </w:rPr>
        <w:t xml:space="preserve">024/2018 </w:t>
      </w:r>
    </w:p>
    <w:p w:rsidR="00D34B07" w:rsidRDefault="00D34B07" w:rsidP="00D34B07">
      <w:pPr>
        <w:jc w:val="both"/>
        <w:rPr>
          <w:rFonts w:ascii="Verdana" w:hAnsi="Verdana" w:cs="Arial"/>
          <w:sz w:val="18"/>
          <w:szCs w:val="18"/>
        </w:rPr>
      </w:pPr>
      <w:r w:rsidRPr="00D34B07">
        <w:rPr>
          <w:rFonts w:ascii="Verdana" w:hAnsi="Verdana" w:cs="Arial"/>
          <w:b/>
          <w:sz w:val="18"/>
          <w:szCs w:val="18"/>
        </w:rPr>
        <w:t>PROCESSO LICITATÓRIO Nº 4178/2019</w:t>
      </w:r>
      <w:r w:rsidRPr="00D34B07">
        <w:rPr>
          <w:rFonts w:ascii="Verdana" w:hAnsi="Verdana" w:cs="Arial"/>
          <w:sz w:val="18"/>
          <w:szCs w:val="18"/>
        </w:rPr>
        <w:t xml:space="preserve"> </w:t>
      </w:r>
    </w:p>
    <w:p w:rsidR="00D34B07" w:rsidRPr="00D34B07" w:rsidRDefault="00D34B07" w:rsidP="00D34B07">
      <w:pPr>
        <w:jc w:val="both"/>
        <w:rPr>
          <w:rFonts w:ascii="Verdana" w:hAnsi="Verdana" w:cs="Arial"/>
          <w:sz w:val="18"/>
          <w:szCs w:val="18"/>
        </w:rPr>
      </w:pPr>
      <w:r>
        <w:rPr>
          <w:rFonts w:ascii="Verdana" w:hAnsi="Verdana" w:cs="Arial"/>
          <w:b/>
          <w:sz w:val="18"/>
          <w:szCs w:val="18"/>
        </w:rPr>
        <w:t xml:space="preserve">OBJETO: </w:t>
      </w:r>
      <w:r w:rsidRPr="00D34B07">
        <w:rPr>
          <w:rFonts w:ascii="Verdana" w:hAnsi="Verdana" w:cs="Arial"/>
          <w:b/>
          <w:sz w:val="18"/>
          <w:szCs w:val="18"/>
        </w:rPr>
        <w:t>CONTRATAÇÃO DE EMPRESA ESPECIALIZADA EM ENGENHARIA ELÉTRICA PARA EXECUÇÃO DE SERVIÇOS DE MANUTENÇÃO, CONSERVAÇÃO, MELHORIA, EFICIENTIZAÇÃO, ADEQUAÇÃO DOS SISTEMAS ELÉTRICOS E DE ILUMINAÇÃO DE PRAÇAS, ESPAÇOS E ÁREA DE LAZER, ESPAÇOS ESPORTIVOS, PONTILHÕES, VIADUTOS, PASSARELAS, CICLOVIAS, PISTA DE CAMINHADAS, ROTATÓRIAS, DISPOSITIVOS VIÁRIOS, MONUMENTOS E ESPAÇOS PÚBLICOS, NESTA CIDADE</w:t>
      </w:r>
      <w:r>
        <w:rPr>
          <w:rFonts w:ascii="Verdana" w:hAnsi="Verdana" w:cs="Arial"/>
          <w:noProof/>
          <w:sz w:val="18"/>
          <w:szCs w:val="18"/>
        </w:rPr>
        <w:t>.</w:t>
      </w:r>
    </w:p>
    <w:p w:rsidR="00C251AB" w:rsidRPr="00D34B07" w:rsidRDefault="00C251AB" w:rsidP="00A040B3">
      <w:pPr>
        <w:pStyle w:val="NormalWeb"/>
        <w:ind w:firstLine="1134"/>
        <w:jc w:val="both"/>
        <w:rPr>
          <w:rFonts w:ascii="Verdana" w:hAnsi="Verdana"/>
          <w:sz w:val="18"/>
          <w:szCs w:val="18"/>
        </w:rPr>
      </w:pPr>
      <w:r w:rsidRPr="00D34B07">
        <w:rPr>
          <w:rFonts w:ascii="Verdana" w:hAnsi="Verdana"/>
          <w:sz w:val="18"/>
          <w:szCs w:val="18"/>
        </w:rPr>
        <w:t xml:space="preserve">Vimos, através deste, em análise aos recursos impetrados pelas </w:t>
      </w:r>
      <w:proofErr w:type="gramStart"/>
      <w:r w:rsidRPr="00D34B07">
        <w:rPr>
          <w:rFonts w:ascii="Verdana" w:hAnsi="Verdana"/>
          <w:sz w:val="18"/>
          <w:szCs w:val="18"/>
        </w:rPr>
        <w:t>empresas</w:t>
      </w:r>
      <w:proofErr w:type="gramEnd"/>
      <w:r w:rsidRPr="00D34B07">
        <w:rPr>
          <w:rFonts w:ascii="Verdana" w:hAnsi="Verdana"/>
          <w:sz w:val="18"/>
          <w:szCs w:val="18"/>
        </w:rPr>
        <w:t xml:space="preserve"> </w:t>
      </w:r>
      <w:r w:rsidR="00A040B3" w:rsidRPr="00D34B07">
        <w:rPr>
          <w:rFonts w:ascii="Verdana" w:hAnsi="Verdana"/>
          <w:sz w:val="18"/>
          <w:szCs w:val="18"/>
        </w:rPr>
        <w:t xml:space="preserve">ELETRO HIDRÁULICA ÁGUIA BRANCA LTDA – EPP, ILUMITECH CONSTRUTORA LTDA </w:t>
      </w:r>
      <w:r w:rsidR="00A44DCC" w:rsidRPr="00D34B07">
        <w:rPr>
          <w:rFonts w:ascii="Verdana" w:hAnsi="Verdana"/>
          <w:sz w:val="18"/>
          <w:szCs w:val="18"/>
        </w:rPr>
        <w:t>E WT</w:t>
      </w:r>
      <w:r w:rsidR="00A040B3" w:rsidRPr="00D34B07">
        <w:rPr>
          <w:rFonts w:ascii="Verdana" w:hAnsi="Verdana"/>
          <w:sz w:val="18"/>
          <w:szCs w:val="18"/>
        </w:rPr>
        <w:t xml:space="preserve"> TECNOLOGIA GESTÃO E ENERGIA</w:t>
      </w:r>
      <w:r w:rsidRPr="00D34B07">
        <w:rPr>
          <w:rFonts w:ascii="Verdana" w:hAnsi="Verdana"/>
          <w:sz w:val="18"/>
          <w:szCs w:val="18"/>
        </w:rPr>
        <w:t>, expor o que segue:</w:t>
      </w:r>
    </w:p>
    <w:p w:rsidR="00FF6714" w:rsidRPr="00D34B07" w:rsidRDefault="00FF6714" w:rsidP="00A040B3">
      <w:pPr>
        <w:pStyle w:val="NormalWeb"/>
        <w:ind w:firstLine="1134"/>
        <w:jc w:val="both"/>
        <w:rPr>
          <w:rFonts w:ascii="Verdana" w:hAnsi="Verdana"/>
          <w:sz w:val="18"/>
          <w:szCs w:val="18"/>
        </w:rPr>
      </w:pPr>
      <w:r w:rsidRPr="00D34B07">
        <w:rPr>
          <w:rFonts w:ascii="Verdana" w:hAnsi="Verdana"/>
          <w:i/>
          <w:sz w:val="18"/>
          <w:szCs w:val="18"/>
        </w:rPr>
        <w:t>A priori</w:t>
      </w:r>
      <w:r w:rsidRPr="00D34B07">
        <w:rPr>
          <w:rFonts w:ascii="Verdana" w:hAnsi="Verdana"/>
          <w:sz w:val="18"/>
          <w:szCs w:val="18"/>
        </w:rPr>
        <w:t xml:space="preserve">, a Comissão Permanente </w:t>
      </w:r>
      <w:r w:rsidR="002A02F1" w:rsidRPr="00D34B07">
        <w:rPr>
          <w:rFonts w:ascii="Verdana" w:hAnsi="Verdana"/>
          <w:sz w:val="18"/>
          <w:szCs w:val="18"/>
        </w:rPr>
        <w:t>de Licitações recebe os recursos, vistos que são tempestivos.</w:t>
      </w:r>
    </w:p>
    <w:p w:rsidR="00690274" w:rsidRPr="00D34B07" w:rsidRDefault="00C251AB" w:rsidP="00A040B3">
      <w:pPr>
        <w:pStyle w:val="NormalWeb"/>
        <w:ind w:firstLine="1134"/>
        <w:jc w:val="both"/>
        <w:rPr>
          <w:rFonts w:ascii="Verdana" w:hAnsi="Verdana"/>
          <w:sz w:val="18"/>
          <w:szCs w:val="18"/>
        </w:rPr>
      </w:pPr>
      <w:r w:rsidRPr="00D34B07">
        <w:rPr>
          <w:rFonts w:ascii="Verdana" w:hAnsi="Verdana"/>
          <w:sz w:val="18"/>
          <w:szCs w:val="18"/>
        </w:rPr>
        <w:t>As empresas inabilitadas arguem,</w:t>
      </w:r>
      <w:r w:rsidR="00A44DCC" w:rsidRPr="00D34B07">
        <w:rPr>
          <w:rFonts w:ascii="Verdana" w:hAnsi="Verdana"/>
          <w:sz w:val="18"/>
          <w:szCs w:val="18"/>
        </w:rPr>
        <w:t xml:space="preserve"> em síntese</w:t>
      </w:r>
      <w:r w:rsidRPr="00D34B07">
        <w:rPr>
          <w:rFonts w:ascii="Verdana" w:hAnsi="Verdana"/>
          <w:sz w:val="18"/>
          <w:szCs w:val="18"/>
        </w:rPr>
        <w:t xml:space="preserve">, </w:t>
      </w:r>
      <w:r w:rsidR="00A44DCC" w:rsidRPr="00D34B07">
        <w:rPr>
          <w:rFonts w:ascii="Verdana" w:hAnsi="Verdana"/>
          <w:sz w:val="18"/>
          <w:szCs w:val="18"/>
        </w:rPr>
        <w:t>que suas</w:t>
      </w:r>
      <w:r w:rsidR="00C33D7B" w:rsidRPr="00D34B07">
        <w:rPr>
          <w:rFonts w:ascii="Verdana" w:hAnsi="Verdana"/>
          <w:sz w:val="18"/>
          <w:szCs w:val="18"/>
        </w:rPr>
        <w:t xml:space="preserve"> inabilitações</w:t>
      </w:r>
      <w:r w:rsidRPr="00D34B07">
        <w:rPr>
          <w:rFonts w:ascii="Verdana" w:hAnsi="Verdana"/>
          <w:sz w:val="18"/>
          <w:szCs w:val="18"/>
        </w:rPr>
        <w:t xml:space="preserve"> não merece</w:t>
      </w:r>
      <w:r w:rsidR="00A040B3" w:rsidRPr="00D34B07">
        <w:rPr>
          <w:rFonts w:ascii="Verdana" w:hAnsi="Verdana"/>
          <w:sz w:val="18"/>
          <w:szCs w:val="18"/>
        </w:rPr>
        <w:t>m</w:t>
      </w:r>
      <w:r w:rsidRPr="00D34B07">
        <w:rPr>
          <w:rFonts w:ascii="Verdana" w:hAnsi="Verdana"/>
          <w:sz w:val="18"/>
          <w:szCs w:val="18"/>
        </w:rPr>
        <w:t xml:space="preserve"> prosperar, haja vista que agendaram e efetuaram a v</w:t>
      </w:r>
      <w:r w:rsidR="00690274" w:rsidRPr="00D34B07">
        <w:rPr>
          <w:rFonts w:ascii="Verdana" w:hAnsi="Verdana"/>
          <w:sz w:val="18"/>
          <w:szCs w:val="18"/>
        </w:rPr>
        <w:t>ista técnica prevista no edital.</w:t>
      </w:r>
    </w:p>
    <w:p w:rsidR="00C251AB" w:rsidRPr="00D34B07" w:rsidRDefault="00690274" w:rsidP="00A040B3">
      <w:pPr>
        <w:pStyle w:val="NormalWeb"/>
        <w:ind w:firstLine="1134"/>
        <w:jc w:val="both"/>
        <w:rPr>
          <w:rFonts w:ascii="Verdana" w:hAnsi="Verdana"/>
          <w:sz w:val="18"/>
          <w:szCs w:val="18"/>
        </w:rPr>
      </w:pPr>
      <w:r w:rsidRPr="00D34B07">
        <w:rPr>
          <w:rFonts w:ascii="Verdana" w:hAnsi="Verdana"/>
          <w:sz w:val="18"/>
          <w:szCs w:val="18"/>
        </w:rPr>
        <w:t xml:space="preserve">Alegam que </w:t>
      </w:r>
      <w:r w:rsidR="00B859B2">
        <w:rPr>
          <w:rFonts w:ascii="Verdana" w:hAnsi="Verdana"/>
          <w:sz w:val="18"/>
          <w:szCs w:val="18"/>
        </w:rPr>
        <w:t xml:space="preserve">houve excesso de formalismo por parte da administração e </w:t>
      </w:r>
      <w:r w:rsidRPr="00D34B07">
        <w:rPr>
          <w:rFonts w:ascii="Verdana" w:hAnsi="Verdana"/>
          <w:sz w:val="18"/>
          <w:szCs w:val="18"/>
        </w:rPr>
        <w:t xml:space="preserve">não há que se falar em </w:t>
      </w:r>
      <w:r w:rsidR="00C251AB" w:rsidRPr="00D34B07">
        <w:rPr>
          <w:rFonts w:ascii="Verdana" w:hAnsi="Verdana"/>
          <w:sz w:val="18"/>
          <w:szCs w:val="18"/>
        </w:rPr>
        <w:t>qualquer responsabilidade por parte das mesmas</w:t>
      </w:r>
      <w:r w:rsidRPr="00D34B07">
        <w:rPr>
          <w:rFonts w:ascii="Verdana" w:hAnsi="Verdana"/>
          <w:sz w:val="18"/>
          <w:szCs w:val="18"/>
        </w:rPr>
        <w:t>,</w:t>
      </w:r>
      <w:r w:rsidR="00C251AB" w:rsidRPr="00D34B07">
        <w:rPr>
          <w:rFonts w:ascii="Verdana" w:hAnsi="Verdana"/>
          <w:sz w:val="18"/>
          <w:szCs w:val="18"/>
        </w:rPr>
        <w:t xml:space="preserve"> no tocante ao fato de que pessoa</w:t>
      </w:r>
      <w:r w:rsidR="00A44DCC" w:rsidRPr="00D34B07">
        <w:rPr>
          <w:rFonts w:ascii="Verdana" w:hAnsi="Verdana"/>
          <w:sz w:val="18"/>
          <w:szCs w:val="18"/>
        </w:rPr>
        <w:t xml:space="preserve"> estranha ao edital</w:t>
      </w:r>
      <w:r w:rsidRPr="00D34B07">
        <w:rPr>
          <w:rFonts w:ascii="Verdana" w:hAnsi="Verdana"/>
          <w:sz w:val="18"/>
          <w:szCs w:val="18"/>
        </w:rPr>
        <w:t xml:space="preserve"> assinou referidos documentos (vistorias técnicas), </w:t>
      </w:r>
      <w:r w:rsidR="00A040B3" w:rsidRPr="00D34B07">
        <w:rPr>
          <w:rFonts w:ascii="Verdana" w:hAnsi="Verdana"/>
          <w:sz w:val="18"/>
          <w:szCs w:val="18"/>
        </w:rPr>
        <w:t>apesar de capaz, pois se trata</w:t>
      </w:r>
      <w:r w:rsidRPr="00D34B07">
        <w:rPr>
          <w:rFonts w:ascii="Verdana" w:hAnsi="Verdana"/>
          <w:sz w:val="18"/>
          <w:szCs w:val="18"/>
        </w:rPr>
        <w:t>va</w:t>
      </w:r>
      <w:r w:rsidR="00A040B3" w:rsidRPr="00D34B07">
        <w:rPr>
          <w:rFonts w:ascii="Verdana" w:hAnsi="Verdana"/>
          <w:sz w:val="18"/>
          <w:szCs w:val="18"/>
        </w:rPr>
        <w:t xml:space="preserve"> de </w:t>
      </w:r>
      <w:r w:rsidRPr="00D34B07">
        <w:rPr>
          <w:rFonts w:ascii="Verdana" w:hAnsi="Verdana"/>
          <w:sz w:val="18"/>
          <w:szCs w:val="18"/>
        </w:rPr>
        <w:t>agente que</w:t>
      </w:r>
      <w:r w:rsidR="00A040B3" w:rsidRPr="00D34B07">
        <w:rPr>
          <w:rFonts w:ascii="Verdana" w:hAnsi="Verdana"/>
          <w:sz w:val="18"/>
          <w:szCs w:val="18"/>
        </w:rPr>
        <w:t xml:space="preserve"> assinou</w:t>
      </w:r>
      <w:r w:rsidR="00A44DCC" w:rsidRPr="00D34B07">
        <w:rPr>
          <w:rFonts w:ascii="Verdana" w:hAnsi="Verdana"/>
          <w:sz w:val="18"/>
          <w:szCs w:val="18"/>
        </w:rPr>
        <w:t xml:space="preserve"> o projeto básico, a ficha técnica e especificação técnica, bem como</w:t>
      </w:r>
      <w:r w:rsidR="00C251AB" w:rsidRPr="00D34B07">
        <w:rPr>
          <w:rFonts w:ascii="Verdana" w:hAnsi="Verdana"/>
          <w:sz w:val="18"/>
          <w:szCs w:val="18"/>
        </w:rPr>
        <w:t xml:space="preserve"> </w:t>
      </w:r>
      <w:r w:rsidR="00A44DCC" w:rsidRPr="00D34B07">
        <w:rPr>
          <w:rFonts w:ascii="Verdana" w:hAnsi="Verdana"/>
          <w:sz w:val="18"/>
          <w:szCs w:val="18"/>
        </w:rPr>
        <w:t>era o gerente de iluminação à época do certame</w:t>
      </w:r>
      <w:r w:rsidR="00C251AB" w:rsidRPr="00D34B07">
        <w:rPr>
          <w:rFonts w:ascii="Verdana" w:hAnsi="Verdana"/>
          <w:sz w:val="18"/>
          <w:szCs w:val="18"/>
        </w:rPr>
        <w:t>.</w:t>
      </w:r>
      <w:r w:rsidR="00A040B3" w:rsidRPr="00D34B07">
        <w:rPr>
          <w:rFonts w:ascii="Verdana" w:hAnsi="Verdana"/>
          <w:sz w:val="18"/>
          <w:szCs w:val="18"/>
        </w:rPr>
        <w:t xml:space="preserve"> </w:t>
      </w:r>
      <w:r w:rsidRPr="00D34B07">
        <w:rPr>
          <w:rFonts w:ascii="Verdana" w:hAnsi="Verdana"/>
          <w:sz w:val="18"/>
          <w:szCs w:val="18"/>
        </w:rPr>
        <w:t>Salientam</w:t>
      </w:r>
      <w:r w:rsidR="00A040B3" w:rsidRPr="00D34B07">
        <w:rPr>
          <w:rFonts w:ascii="Verdana" w:hAnsi="Verdana"/>
          <w:sz w:val="18"/>
          <w:szCs w:val="18"/>
        </w:rPr>
        <w:t xml:space="preserve">, também, que não podem ser responsabilizadas por gafes da Administração </w:t>
      </w:r>
      <w:r w:rsidR="00A44DCC" w:rsidRPr="00D34B07">
        <w:rPr>
          <w:rFonts w:ascii="Verdana" w:hAnsi="Verdana"/>
          <w:sz w:val="18"/>
          <w:szCs w:val="18"/>
        </w:rPr>
        <w:t>em seus atos internos, bem como alegam que os motivos que não permitiam o Sr. Alex Nery Miranda de assinar os documentos não foram devidamente esclarecidos.</w:t>
      </w:r>
    </w:p>
    <w:p w:rsidR="0087000B" w:rsidRPr="00D34B07" w:rsidRDefault="00A44DCC" w:rsidP="00A040B3">
      <w:pPr>
        <w:pStyle w:val="NormalWeb"/>
        <w:ind w:firstLine="1134"/>
        <w:jc w:val="both"/>
        <w:rPr>
          <w:rFonts w:ascii="Verdana" w:hAnsi="Verdana"/>
          <w:sz w:val="18"/>
          <w:szCs w:val="18"/>
        </w:rPr>
      </w:pPr>
      <w:r w:rsidRPr="00D34B07">
        <w:rPr>
          <w:rFonts w:ascii="Verdana" w:hAnsi="Verdana"/>
          <w:sz w:val="18"/>
          <w:szCs w:val="18"/>
        </w:rPr>
        <w:t>Em suas contrarrazões, a empresa TECNOLUMEN ILUMINAÇÃO URBANA LTDA requer</w:t>
      </w:r>
      <w:r w:rsidR="0087000B" w:rsidRPr="00D34B07">
        <w:rPr>
          <w:rFonts w:ascii="Verdana" w:hAnsi="Verdana"/>
          <w:sz w:val="18"/>
          <w:szCs w:val="18"/>
        </w:rPr>
        <w:t>, em síntese,</w:t>
      </w:r>
      <w:r w:rsidRPr="00D34B07">
        <w:rPr>
          <w:rFonts w:ascii="Verdana" w:hAnsi="Verdana"/>
          <w:sz w:val="18"/>
          <w:szCs w:val="18"/>
        </w:rPr>
        <w:t xml:space="preserve"> a manutenção das inabilitações, </w:t>
      </w:r>
      <w:r w:rsidR="00260142">
        <w:rPr>
          <w:rFonts w:ascii="Verdana" w:hAnsi="Verdana"/>
          <w:sz w:val="18"/>
          <w:szCs w:val="18"/>
        </w:rPr>
        <w:t>ressaltando</w:t>
      </w:r>
      <w:r w:rsidRPr="00D34B07">
        <w:rPr>
          <w:rFonts w:ascii="Verdana" w:hAnsi="Verdana"/>
          <w:sz w:val="18"/>
          <w:szCs w:val="18"/>
        </w:rPr>
        <w:t xml:space="preserve"> que as empresas descumpriram </w:t>
      </w:r>
      <w:r w:rsidR="0087000B" w:rsidRPr="00D34B07">
        <w:rPr>
          <w:rFonts w:ascii="Verdana" w:hAnsi="Verdana"/>
          <w:sz w:val="18"/>
          <w:szCs w:val="18"/>
        </w:rPr>
        <w:t>o princípio da vinculação ao edital.</w:t>
      </w:r>
    </w:p>
    <w:p w:rsidR="00A44DCC" w:rsidRPr="00D34B07" w:rsidRDefault="0087000B" w:rsidP="00A040B3">
      <w:pPr>
        <w:pStyle w:val="NormalWeb"/>
        <w:ind w:firstLine="1134"/>
        <w:jc w:val="both"/>
        <w:rPr>
          <w:rFonts w:ascii="Verdana" w:hAnsi="Verdana"/>
          <w:sz w:val="18"/>
          <w:szCs w:val="18"/>
        </w:rPr>
      </w:pPr>
      <w:r w:rsidRPr="00D34B07">
        <w:rPr>
          <w:rFonts w:ascii="Verdana" w:hAnsi="Verdana"/>
          <w:sz w:val="18"/>
          <w:szCs w:val="18"/>
        </w:rPr>
        <w:t>No entanto, para que não pairem quaisquer dúvidas em relação ao julgamento dos recursos impetrados, a Gerência de Licitação e Contratos, a fim de auxiliar a Comissão Permanente de Licitações, elaborou questões a serem respondidas pelo setor de Obras e Serviços Públicos para</w:t>
      </w:r>
      <w:r w:rsidR="00BE5931" w:rsidRPr="00D34B07">
        <w:rPr>
          <w:rFonts w:ascii="Verdana" w:hAnsi="Verdana"/>
          <w:sz w:val="18"/>
          <w:szCs w:val="18"/>
        </w:rPr>
        <w:t xml:space="preserve"> que pudesse</w:t>
      </w:r>
      <w:r w:rsidRPr="00D34B07">
        <w:rPr>
          <w:rFonts w:ascii="Verdana" w:hAnsi="Verdana"/>
          <w:sz w:val="18"/>
          <w:szCs w:val="18"/>
        </w:rPr>
        <w:t xml:space="preserve"> obter subsídios para a análise.</w:t>
      </w:r>
    </w:p>
    <w:p w:rsidR="0087000B" w:rsidRPr="00D34B07" w:rsidRDefault="00690274" w:rsidP="00A040B3">
      <w:pPr>
        <w:pStyle w:val="NormalWeb"/>
        <w:ind w:firstLine="1134"/>
        <w:jc w:val="both"/>
        <w:rPr>
          <w:rFonts w:ascii="Verdana" w:hAnsi="Verdana"/>
          <w:sz w:val="18"/>
          <w:szCs w:val="18"/>
        </w:rPr>
      </w:pPr>
      <w:r w:rsidRPr="00D34B07">
        <w:rPr>
          <w:rFonts w:ascii="Verdana" w:hAnsi="Verdana"/>
          <w:sz w:val="18"/>
          <w:szCs w:val="18"/>
        </w:rPr>
        <w:t>Posto ist</w:t>
      </w:r>
      <w:r w:rsidR="0087000B" w:rsidRPr="00D34B07">
        <w:rPr>
          <w:rFonts w:ascii="Verdana" w:hAnsi="Verdana"/>
          <w:sz w:val="18"/>
          <w:szCs w:val="18"/>
        </w:rPr>
        <w:t>o, vimos tecer alguns comentários sobre o assunto.</w:t>
      </w:r>
    </w:p>
    <w:p w:rsidR="0087000B" w:rsidRPr="00D34B07" w:rsidRDefault="0087000B" w:rsidP="00A040B3">
      <w:pPr>
        <w:pStyle w:val="NormalWeb"/>
        <w:ind w:firstLine="1134"/>
        <w:jc w:val="both"/>
        <w:rPr>
          <w:rFonts w:ascii="Verdana" w:hAnsi="Verdana"/>
          <w:sz w:val="18"/>
          <w:szCs w:val="18"/>
        </w:rPr>
      </w:pPr>
      <w:r w:rsidRPr="00D34B07">
        <w:rPr>
          <w:rFonts w:ascii="Verdana" w:hAnsi="Verdana"/>
          <w:sz w:val="18"/>
          <w:szCs w:val="18"/>
        </w:rPr>
        <w:t>O Tribunal de Contas da União</w:t>
      </w:r>
      <w:r w:rsidR="00EB4272" w:rsidRPr="00D34B07">
        <w:rPr>
          <w:rFonts w:ascii="Verdana" w:hAnsi="Verdana"/>
          <w:sz w:val="18"/>
          <w:szCs w:val="18"/>
        </w:rPr>
        <w:t xml:space="preserve"> vem</w:t>
      </w:r>
      <w:r w:rsidRPr="00D34B07">
        <w:rPr>
          <w:rFonts w:ascii="Verdana" w:hAnsi="Verdana"/>
          <w:sz w:val="18"/>
          <w:szCs w:val="18"/>
        </w:rPr>
        <w:t>, frequentemente, proferindo decisões nas quais adotam o princípio do formalismo moderado e a possibilidade de saneamento de falhas ao longo do procedimento licitatório.</w:t>
      </w:r>
    </w:p>
    <w:p w:rsidR="0087000B" w:rsidRPr="00D34B07" w:rsidRDefault="0087000B" w:rsidP="0087000B">
      <w:pPr>
        <w:pStyle w:val="NormalWeb"/>
        <w:ind w:firstLine="1134"/>
        <w:jc w:val="both"/>
        <w:rPr>
          <w:rFonts w:ascii="Verdana" w:hAnsi="Verdana"/>
          <w:sz w:val="18"/>
          <w:szCs w:val="18"/>
        </w:rPr>
      </w:pPr>
      <w:r w:rsidRPr="00D34B07">
        <w:rPr>
          <w:rFonts w:ascii="Verdana" w:hAnsi="Verdana"/>
          <w:sz w:val="18"/>
          <w:szCs w:val="18"/>
        </w:rPr>
        <w:lastRenderedPageBreak/>
        <w:t>O formalismo moderado se relaciona a ponderação entre o princípio da eficiência e o da segurança jurídica, ostentando importante função no cumprimento dos objetivos descritos no art. 3º da lei de licitações: busca da proposta mais vantajosa para a Administração, garantia da isonomia e promoção do desenvolvimento nacional sustentável.</w:t>
      </w:r>
    </w:p>
    <w:p w:rsidR="0087000B" w:rsidRPr="00D34B07" w:rsidRDefault="0087000B" w:rsidP="0087000B">
      <w:pPr>
        <w:pStyle w:val="NormalWeb"/>
        <w:ind w:firstLine="1134"/>
        <w:jc w:val="both"/>
        <w:rPr>
          <w:rFonts w:ascii="Verdana" w:hAnsi="Verdana"/>
          <w:sz w:val="18"/>
          <w:szCs w:val="18"/>
        </w:rPr>
      </w:pPr>
      <w:r w:rsidRPr="00D34B07">
        <w:rPr>
          <w:rFonts w:ascii="Verdana" w:hAnsi="Verdana"/>
          <w:sz w:val="18"/>
          <w:szCs w:val="18"/>
        </w:rPr>
        <w:t>Nesse sentido, orienta o TCU no acórdão 357/2015-Plenário:</w:t>
      </w:r>
    </w:p>
    <w:p w:rsidR="0087000B" w:rsidRPr="00D34B07" w:rsidRDefault="0087000B" w:rsidP="0087000B">
      <w:pPr>
        <w:pStyle w:val="NormalWeb"/>
        <w:ind w:firstLine="1134"/>
        <w:jc w:val="both"/>
        <w:rPr>
          <w:rFonts w:ascii="Verdana" w:hAnsi="Verdana"/>
          <w:sz w:val="18"/>
          <w:szCs w:val="18"/>
        </w:rPr>
      </w:pPr>
      <w:r w:rsidRPr="00D34B07">
        <w:rPr>
          <w:rFonts w:ascii="Verdana" w:hAnsi="Verdana"/>
          <w:sz w:val="18"/>
          <w:szCs w:val="18"/>
        </w:rPr>
        <w:t xml:space="preserve">    </w:t>
      </w:r>
      <w:r w:rsidR="00376C25" w:rsidRPr="00D34B07">
        <w:rPr>
          <w:rFonts w:ascii="Verdana" w:hAnsi="Verdana"/>
          <w:sz w:val="18"/>
          <w:szCs w:val="18"/>
        </w:rPr>
        <w:t>“</w:t>
      </w:r>
      <w:r w:rsidRPr="00D34B07">
        <w:rPr>
          <w:rFonts w:ascii="Verdana" w:hAnsi="Verdana"/>
          <w:i/>
          <w:sz w:val="18"/>
          <w:szCs w:val="18"/>
        </w:rPr>
        <w:t>No curso de procedimentos licitatórios, a Administração Pública deve pautar-se pelo princípio do formalismo moderado, que prescreve a adoção de formas simples e suficientes para propiciar adequado grau de certeza, segurança e respeito aos direitos dos administrados, promovendo, assim, a prevalência do conteúdo sobre o formalismo extremo, respeitadas, ainda, as praxes essenciais à proteção das prerrogativas dos administrados</w:t>
      </w:r>
      <w:r w:rsidR="00376C25" w:rsidRPr="00D34B07">
        <w:rPr>
          <w:rFonts w:ascii="Verdana" w:hAnsi="Verdana"/>
          <w:i/>
          <w:sz w:val="18"/>
          <w:szCs w:val="18"/>
        </w:rPr>
        <w:t>”</w:t>
      </w:r>
      <w:r w:rsidRPr="00D34B07">
        <w:rPr>
          <w:rFonts w:ascii="Verdana" w:hAnsi="Verdana"/>
          <w:sz w:val="18"/>
          <w:szCs w:val="18"/>
        </w:rPr>
        <w:t>.</w:t>
      </w:r>
    </w:p>
    <w:p w:rsidR="00376C25" w:rsidRPr="00D34B07" w:rsidRDefault="00376C25" w:rsidP="00376C25">
      <w:pPr>
        <w:pStyle w:val="NormalWeb"/>
        <w:ind w:firstLine="1134"/>
        <w:jc w:val="both"/>
        <w:rPr>
          <w:rFonts w:ascii="Verdana" w:hAnsi="Verdana"/>
          <w:sz w:val="18"/>
          <w:szCs w:val="18"/>
        </w:rPr>
      </w:pPr>
      <w:r w:rsidRPr="00D34B07">
        <w:rPr>
          <w:rFonts w:ascii="Verdana" w:hAnsi="Verdana"/>
          <w:sz w:val="18"/>
          <w:szCs w:val="18"/>
        </w:rPr>
        <w:t>A utilização de tal princípio não viola nem afronta o princípio da vinculação ao instrumento convocatório, nem mesmo nega a vigência do caput do art. 41 da lei 8.666/93</w:t>
      </w:r>
      <w:r w:rsidR="009706F0" w:rsidRPr="00D34B07">
        <w:rPr>
          <w:rFonts w:ascii="Verdana" w:hAnsi="Verdana"/>
          <w:sz w:val="18"/>
          <w:szCs w:val="18"/>
        </w:rPr>
        <w:t>,</w:t>
      </w:r>
      <w:r w:rsidRPr="00D34B07">
        <w:rPr>
          <w:rFonts w:ascii="Verdana" w:hAnsi="Verdana"/>
          <w:sz w:val="18"/>
          <w:szCs w:val="18"/>
        </w:rPr>
        <w:t xml:space="preserve"> que dispõe sobre a impossibilidade de a Administração descumprir as normas e condições do edital. Trata-</w:t>
      </w:r>
      <w:r w:rsidR="009706F0" w:rsidRPr="00D34B07">
        <w:rPr>
          <w:rFonts w:ascii="Verdana" w:hAnsi="Verdana"/>
          <w:sz w:val="18"/>
          <w:szCs w:val="18"/>
        </w:rPr>
        <w:t xml:space="preserve">se de solução a ser tomada </w:t>
      </w:r>
      <w:r w:rsidRPr="00D34B07">
        <w:rPr>
          <w:rFonts w:ascii="Verdana" w:hAnsi="Verdana"/>
          <w:sz w:val="18"/>
          <w:szCs w:val="18"/>
        </w:rPr>
        <w:t>a partir de um conflito de princípios.</w:t>
      </w:r>
    </w:p>
    <w:p w:rsidR="00C251AB" w:rsidRPr="00D34B07" w:rsidRDefault="00C251AB" w:rsidP="00376C25">
      <w:pPr>
        <w:pStyle w:val="NormalWeb"/>
        <w:ind w:firstLine="1134"/>
        <w:jc w:val="both"/>
        <w:rPr>
          <w:rFonts w:ascii="Verdana" w:hAnsi="Verdana"/>
          <w:sz w:val="18"/>
          <w:szCs w:val="18"/>
        </w:rPr>
      </w:pPr>
      <w:r w:rsidRPr="00D34B07">
        <w:rPr>
          <w:rFonts w:ascii="Verdana" w:hAnsi="Verdana"/>
          <w:sz w:val="18"/>
          <w:szCs w:val="18"/>
        </w:rPr>
        <w:t xml:space="preserve">Diante </w:t>
      </w:r>
      <w:r w:rsidR="00B51E62" w:rsidRPr="00D34B07">
        <w:rPr>
          <w:rFonts w:ascii="Verdana" w:hAnsi="Verdana"/>
          <w:sz w:val="18"/>
          <w:szCs w:val="18"/>
        </w:rPr>
        <w:t>de um caso</w:t>
      </w:r>
      <w:r w:rsidRPr="00D34B07">
        <w:rPr>
          <w:rFonts w:ascii="Verdana" w:hAnsi="Verdana"/>
          <w:sz w:val="18"/>
          <w:szCs w:val="18"/>
        </w:rPr>
        <w:t xml:space="preserve"> concreto,</w:t>
      </w:r>
      <w:r w:rsidR="00B51E62" w:rsidRPr="00D34B07">
        <w:rPr>
          <w:rFonts w:ascii="Verdana" w:hAnsi="Verdana"/>
          <w:sz w:val="18"/>
          <w:szCs w:val="18"/>
        </w:rPr>
        <w:t xml:space="preserve"> aliás, como é o presente caso</w:t>
      </w:r>
      <w:r w:rsidRPr="00D34B07">
        <w:rPr>
          <w:rFonts w:ascii="Verdana" w:hAnsi="Verdana"/>
          <w:sz w:val="18"/>
          <w:szCs w:val="18"/>
        </w:rPr>
        <w:t xml:space="preserve"> e a fim de melhor viabilizar a concretização do interesse público, pode o princípio da legalidade estrita ser afastado frente a outros princípios. (Acórdão 119/2016-Plenário)</w:t>
      </w:r>
      <w:r w:rsidR="00376C25" w:rsidRPr="00D34B07">
        <w:rPr>
          <w:rFonts w:ascii="Verdana" w:hAnsi="Verdana"/>
          <w:sz w:val="18"/>
          <w:szCs w:val="18"/>
        </w:rPr>
        <w:t>.</w:t>
      </w:r>
    </w:p>
    <w:p w:rsidR="00C251AB" w:rsidRPr="00D34B07" w:rsidRDefault="00376C25" w:rsidP="00376C25">
      <w:pPr>
        <w:pStyle w:val="NormalWeb"/>
        <w:ind w:firstLine="1134"/>
        <w:jc w:val="both"/>
        <w:rPr>
          <w:rFonts w:ascii="Verdana" w:hAnsi="Verdana"/>
          <w:sz w:val="18"/>
          <w:szCs w:val="18"/>
        </w:rPr>
      </w:pPr>
      <w:r w:rsidRPr="00D34B07">
        <w:rPr>
          <w:rFonts w:ascii="Verdana" w:hAnsi="Verdana"/>
          <w:sz w:val="18"/>
          <w:szCs w:val="18"/>
        </w:rPr>
        <w:t>Diferentemente do que se pode pensar,</w:t>
      </w:r>
      <w:r w:rsidR="00C251AB" w:rsidRPr="00D34B07">
        <w:rPr>
          <w:rFonts w:ascii="Verdana" w:hAnsi="Verdana"/>
          <w:sz w:val="18"/>
          <w:szCs w:val="18"/>
        </w:rPr>
        <w:t xml:space="preserve"> os princípios não são incompatíveis entre si. </w:t>
      </w:r>
      <w:r w:rsidR="0098768E" w:rsidRPr="00D34B07">
        <w:rPr>
          <w:rFonts w:ascii="Verdana" w:hAnsi="Verdana"/>
          <w:sz w:val="18"/>
          <w:szCs w:val="18"/>
        </w:rPr>
        <w:t xml:space="preserve">Podemos citar como exemplo um possível </w:t>
      </w:r>
      <w:r w:rsidR="00C251AB" w:rsidRPr="00D34B07">
        <w:rPr>
          <w:rFonts w:ascii="Verdana" w:hAnsi="Verdana"/>
          <w:sz w:val="18"/>
          <w:szCs w:val="18"/>
        </w:rPr>
        <w:t xml:space="preserve">conflito de princípios (vinculação ao instrumento convocatório </w:t>
      </w:r>
      <w:r w:rsidR="00EB4272">
        <w:rPr>
          <w:rFonts w:ascii="Verdana" w:hAnsi="Verdana"/>
          <w:sz w:val="18"/>
          <w:szCs w:val="18"/>
        </w:rPr>
        <w:t>X</w:t>
      </w:r>
      <w:r w:rsidR="00C251AB" w:rsidRPr="00D34B07">
        <w:rPr>
          <w:rFonts w:ascii="Verdana" w:hAnsi="Verdana"/>
          <w:sz w:val="18"/>
          <w:szCs w:val="18"/>
        </w:rPr>
        <w:t xml:space="preserve"> obtenção da proposta mais vantajosa), a adoção de um não </w:t>
      </w:r>
      <w:r w:rsidR="00EB4272">
        <w:rPr>
          <w:rFonts w:ascii="Verdana" w:hAnsi="Verdana"/>
          <w:sz w:val="18"/>
          <w:szCs w:val="18"/>
        </w:rPr>
        <w:t xml:space="preserve">extermina </w:t>
      </w:r>
      <w:r w:rsidR="00C251AB" w:rsidRPr="00D34B07">
        <w:rPr>
          <w:rFonts w:ascii="Verdana" w:hAnsi="Verdana"/>
          <w:sz w:val="18"/>
          <w:szCs w:val="18"/>
        </w:rPr>
        <w:t>o outro. Como exemplo, esse raciocínio pode ser percebido nas seguintes decisões do Tribunal de Contas da União:</w:t>
      </w:r>
    </w:p>
    <w:p w:rsidR="00C251AB" w:rsidRPr="00D34B07" w:rsidRDefault="00C251AB" w:rsidP="00376C25">
      <w:pPr>
        <w:pStyle w:val="NormalWeb"/>
        <w:ind w:left="851"/>
        <w:jc w:val="both"/>
        <w:rPr>
          <w:rFonts w:ascii="Verdana" w:hAnsi="Verdana"/>
          <w:sz w:val="18"/>
          <w:szCs w:val="18"/>
        </w:rPr>
      </w:pPr>
      <w:r w:rsidRPr="00D34B07">
        <w:rPr>
          <w:rStyle w:val="nfase"/>
          <w:rFonts w:ascii="Verdana" w:hAnsi="Verdana"/>
          <w:sz w:val="18"/>
          <w:szCs w:val="18"/>
        </w:rPr>
        <w:t>Rigor formal no exame das propostas dos licitantes não pode ser exagerado ou absoluto, sob pena de desclassificação de propostas mais vantajosas, devendo as simples omissões ou irregularidades na documentação ou na proposta, desde que irrelevantes e não causem prejuízos à Administração ou aos concorrentes, serem sanadas mediante diligências. (Acórdão 2302/2012-Plenário)</w:t>
      </w:r>
    </w:p>
    <w:p w:rsidR="00C251AB" w:rsidRPr="00D34B07" w:rsidRDefault="00C251AB" w:rsidP="00376C25">
      <w:pPr>
        <w:pStyle w:val="NormalWeb"/>
        <w:ind w:left="851"/>
        <w:jc w:val="both"/>
        <w:rPr>
          <w:rFonts w:ascii="Verdana" w:hAnsi="Verdana"/>
          <w:sz w:val="18"/>
          <w:szCs w:val="18"/>
        </w:rPr>
      </w:pPr>
      <w:r w:rsidRPr="00D34B07">
        <w:rPr>
          <w:rStyle w:val="nfase"/>
          <w:rFonts w:ascii="Verdana" w:hAnsi="Verdana"/>
          <w:sz w:val="18"/>
          <w:szCs w:val="18"/>
        </w:rPr>
        <w:t xml:space="preserve">O disposto no </w:t>
      </w:r>
      <w:r w:rsidRPr="00D34B07">
        <w:rPr>
          <w:rFonts w:ascii="Verdana" w:hAnsi="Verdana"/>
          <w:sz w:val="18"/>
          <w:szCs w:val="18"/>
        </w:rPr>
        <w:t xml:space="preserve">caput </w:t>
      </w:r>
      <w:r w:rsidRPr="00D34B07">
        <w:rPr>
          <w:rStyle w:val="nfase"/>
          <w:rFonts w:ascii="Verdana" w:hAnsi="Verdana"/>
          <w:sz w:val="18"/>
          <w:szCs w:val="18"/>
        </w:rPr>
        <w:t>do art. 41 da Lei 8.666/1993, que proíbe a Administração de descumprir as normas e o edital, deve ser aplicado mediante a consideração dos princípios basilares que norteiam o procedimento licitatório, dentre eles o da seleção da proposta mais vantajosa. (Acórdão 8482/2013-1ª Câmara)</w:t>
      </w:r>
      <w:r w:rsidR="00376C25" w:rsidRPr="00D34B07">
        <w:rPr>
          <w:rStyle w:val="nfase"/>
          <w:rFonts w:ascii="Verdana" w:hAnsi="Verdana"/>
          <w:sz w:val="18"/>
          <w:szCs w:val="18"/>
        </w:rPr>
        <w:t>.</w:t>
      </w:r>
    </w:p>
    <w:p w:rsidR="00C251AB" w:rsidRPr="00D34B07" w:rsidRDefault="00376C25" w:rsidP="00376C25">
      <w:pPr>
        <w:pStyle w:val="NormalWeb"/>
        <w:ind w:firstLine="851"/>
        <w:jc w:val="both"/>
        <w:rPr>
          <w:rFonts w:ascii="Verdana" w:hAnsi="Verdana"/>
          <w:sz w:val="18"/>
          <w:szCs w:val="18"/>
        </w:rPr>
      </w:pPr>
      <w:r w:rsidRPr="00D34B07">
        <w:rPr>
          <w:rFonts w:ascii="Verdana" w:hAnsi="Verdana"/>
          <w:sz w:val="18"/>
          <w:szCs w:val="18"/>
        </w:rPr>
        <w:t>Nessas</w:t>
      </w:r>
      <w:r w:rsidR="00C251AB" w:rsidRPr="00D34B07">
        <w:rPr>
          <w:rFonts w:ascii="Verdana" w:hAnsi="Verdana"/>
          <w:sz w:val="18"/>
          <w:szCs w:val="18"/>
        </w:rPr>
        <w:t xml:space="preserve"> hipóteses, a análise deve considerar a importância de cada princípio no caso concreto, e realizar a ponderação entre eles a fim de determinar qual prevalecerá, sem perder de vista os aspectos normativos. Por esse motivo, as soluções não respeitam fórmulas prontas, podendo variar de um caso para outro.</w:t>
      </w:r>
    </w:p>
    <w:p w:rsidR="00C251AB" w:rsidRPr="00D34B07" w:rsidRDefault="00C251AB" w:rsidP="00376C25">
      <w:pPr>
        <w:pStyle w:val="NormalWeb"/>
        <w:ind w:firstLine="993"/>
        <w:jc w:val="both"/>
        <w:rPr>
          <w:rFonts w:ascii="Verdana" w:hAnsi="Verdana"/>
          <w:sz w:val="18"/>
          <w:szCs w:val="18"/>
        </w:rPr>
      </w:pPr>
      <w:r w:rsidRPr="00D34B07">
        <w:rPr>
          <w:rFonts w:ascii="Verdana" w:hAnsi="Verdana"/>
          <w:sz w:val="18"/>
          <w:szCs w:val="18"/>
        </w:rPr>
        <w:t xml:space="preserve">Vale lembrar que o </w:t>
      </w:r>
      <w:r w:rsidR="00DB3407">
        <w:rPr>
          <w:rFonts w:ascii="Verdana" w:hAnsi="Verdana"/>
          <w:sz w:val="18"/>
          <w:szCs w:val="18"/>
        </w:rPr>
        <w:t>procedimento</w:t>
      </w:r>
      <w:r w:rsidRPr="00D34B07">
        <w:rPr>
          <w:rFonts w:ascii="Verdana" w:hAnsi="Verdana"/>
          <w:sz w:val="18"/>
          <w:szCs w:val="18"/>
        </w:rPr>
        <w:t xml:space="preserve"> licitatório não representa </w:t>
      </w:r>
      <w:r w:rsidR="00DB3407">
        <w:rPr>
          <w:rFonts w:ascii="Verdana" w:hAnsi="Verdana"/>
          <w:sz w:val="18"/>
          <w:szCs w:val="18"/>
        </w:rPr>
        <w:t xml:space="preserve">um fim em si mesmo, mas um meio, o qual </w:t>
      </w:r>
      <w:r w:rsidRPr="00D34B07">
        <w:rPr>
          <w:rFonts w:ascii="Verdana" w:hAnsi="Verdana"/>
          <w:sz w:val="18"/>
          <w:szCs w:val="18"/>
        </w:rPr>
        <w:t>busca o atendimento das necessidades públicas. Nas palavras do professor Adilson Dallari: a “</w:t>
      </w:r>
      <w:r w:rsidRPr="00D34B07">
        <w:rPr>
          <w:rFonts w:ascii="Verdana" w:hAnsi="Verdana"/>
          <w:i/>
          <w:sz w:val="18"/>
          <w:szCs w:val="18"/>
        </w:rPr>
        <w:t>licitação não é um concurso de destreza, destinado a selecionar o melhor cumpridor de edital</w:t>
      </w:r>
      <w:r w:rsidRPr="00D34B07">
        <w:rPr>
          <w:rFonts w:ascii="Verdana" w:hAnsi="Verdana"/>
          <w:sz w:val="18"/>
          <w:szCs w:val="18"/>
        </w:rPr>
        <w:t>”.</w:t>
      </w:r>
    </w:p>
    <w:p w:rsidR="00B51E62" w:rsidRPr="00D34B07" w:rsidRDefault="00B51E62" w:rsidP="00376C25">
      <w:pPr>
        <w:pStyle w:val="NormalWeb"/>
        <w:ind w:firstLine="993"/>
        <w:jc w:val="both"/>
        <w:rPr>
          <w:rFonts w:ascii="Verdana" w:hAnsi="Verdana"/>
          <w:sz w:val="18"/>
          <w:szCs w:val="18"/>
        </w:rPr>
      </w:pPr>
      <w:r w:rsidRPr="00D34B07">
        <w:rPr>
          <w:rFonts w:ascii="Verdana" w:hAnsi="Verdana"/>
          <w:sz w:val="18"/>
          <w:szCs w:val="18"/>
        </w:rPr>
        <w:t>De acordo com a manifestação da Secretaria de Obras e Serviços Públicos, todas as empresas participantes do certame agendaram e realizaram as visitas técnicas.</w:t>
      </w:r>
    </w:p>
    <w:p w:rsidR="00B51E62" w:rsidRPr="00D34B07" w:rsidRDefault="00B51E62" w:rsidP="00376C25">
      <w:pPr>
        <w:pStyle w:val="NormalWeb"/>
        <w:ind w:firstLine="993"/>
        <w:jc w:val="both"/>
        <w:rPr>
          <w:rFonts w:ascii="Verdana" w:hAnsi="Verdana"/>
          <w:sz w:val="18"/>
          <w:szCs w:val="18"/>
        </w:rPr>
      </w:pPr>
      <w:r w:rsidRPr="00D34B07">
        <w:rPr>
          <w:rFonts w:ascii="Verdana" w:hAnsi="Verdana"/>
          <w:sz w:val="18"/>
          <w:szCs w:val="18"/>
        </w:rPr>
        <w:lastRenderedPageBreak/>
        <w:t>Questionada também sobre possível defeito na elaboração do documento de vistoria emanado pelo Gerente de iluminação é época, a Secretaria manifestou-se no sentido de que não houve qualquer defeito.</w:t>
      </w:r>
    </w:p>
    <w:p w:rsidR="00B51E62" w:rsidRPr="00D34B07" w:rsidRDefault="00B51E62" w:rsidP="00376C25">
      <w:pPr>
        <w:pStyle w:val="NormalWeb"/>
        <w:ind w:firstLine="993"/>
        <w:jc w:val="both"/>
        <w:rPr>
          <w:rFonts w:ascii="Verdana" w:hAnsi="Verdana"/>
          <w:sz w:val="18"/>
          <w:szCs w:val="18"/>
        </w:rPr>
      </w:pPr>
      <w:r w:rsidRPr="00D34B07">
        <w:rPr>
          <w:rFonts w:ascii="Verdana" w:hAnsi="Verdana"/>
          <w:sz w:val="18"/>
          <w:szCs w:val="18"/>
        </w:rPr>
        <w:t>Por fim, ressalta que não houve qualquer procedimento administrativo em relação ao gerente de iluminação que assinou os documentos, pois, mesmo sem autorização expressa para validar tais documentos, não trouxe qualquer prejuízo para a Administração, portanto não houve qualquer comprometimento do procedimento licitatório.</w:t>
      </w:r>
    </w:p>
    <w:p w:rsidR="00990DA8" w:rsidRDefault="00B51E62" w:rsidP="00376C25">
      <w:pPr>
        <w:pStyle w:val="NormalWeb"/>
        <w:ind w:firstLine="993"/>
        <w:jc w:val="both"/>
        <w:rPr>
          <w:rFonts w:ascii="Verdana" w:hAnsi="Verdana"/>
          <w:sz w:val="18"/>
          <w:szCs w:val="18"/>
        </w:rPr>
      </w:pPr>
      <w:r w:rsidRPr="00D34B07">
        <w:rPr>
          <w:rFonts w:ascii="Verdana" w:hAnsi="Verdana"/>
          <w:sz w:val="18"/>
          <w:szCs w:val="18"/>
        </w:rPr>
        <w:t>Porta</w:t>
      </w:r>
      <w:r w:rsidR="00930031">
        <w:rPr>
          <w:rFonts w:ascii="Verdana" w:hAnsi="Verdana"/>
          <w:sz w:val="18"/>
          <w:szCs w:val="18"/>
        </w:rPr>
        <w:t>nto, não é justo que as empresas, as quais foram</w:t>
      </w:r>
      <w:r w:rsidRPr="00D34B07">
        <w:rPr>
          <w:rFonts w:ascii="Verdana" w:hAnsi="Verdana"/>
          <w:sz w:val="18"/>
          <w:szCs w:val="18"/>
        </w:rPr>
        <w:t xml:space="preserve"> devidamente reconhecidas pela Secretaria de Obras e Serviços Públicos</w:t>
      </w:r>
      <w:r w:rsidR="00930031">
        <w:rPr>
          <w:rFonts w:ascii="Verdana" w:hAnsi="Verdana"/>
          <w:sz w:val="18"/>
          <w:szCs w:val="18"/>
        </w:rPr>
        <w:t xml:space="preserve"> como aptas para atender ao objeto do certame e realizaram a visita técnica, conforme</w:t>
      </w:r>
      <w:r w:rsidRPr="00D34B07">
        <w:rPr>
          <w:rFonts w:ascii="Verdana" w:hAnsi="Verdana"/>
          <w:sz w:val="18"/>
          <w:szCs w:val="18"/>
        </w:rPr>
        <w:t xml:space="preserve"> manifestação de fls. </w:t>
      </w:r>
      <w:r w:rsidR="001D13B2" w:rsidRPr="00D34B07">
        <w:rPr>
          <w:rFonts w:ascii="Verdana" w:hAnsi="Verdana"/>
          <w:sz w:val="18"/>
          <w:szCs w:val="18"/>
        </w:rPr>
        <w:t>837</w:t>
      </w:r>
      <w:r w:rsidRPr="00D34B07">
        <w:rPr>
          <w:rFonts w:ascii="Verdana" w:hAnsi="Verdana"/>
          <w:sz w:val="18"/>
          <w:szCs w:val="18"/>
        </w:rPr>
        <w:t xml:space="preserve"> </w:t>
      </w:r>
      <w:proofErr w:type="gramStart"/>
      <w:r w:rsidRPr="00D34B07">
        <w:rPr>
          <w:rFonts w:ascii="Verdana" w:hAnsi="Verdana"/>
          <w:sz w:val="18"/>
          <w:szCs w:val="18"/>
        </w:rPr>
        <w:t>fossem</w:t>
      </w:r>
      <w:proofErr w:type="gramEnd"/>
      <w:r w:rsidRPr="00D34B07">
        <w:rPr>
          <w:rFonts w:ascii="Verdana" w:hAnsi="Verdana"/>
          <w:sz w:val="18"/>
          <w:szCs w:val="18"/>
        </w:rPr>
        <w:t xml:space="preserve"> inabilitadas apenas por um erro de sujeito</w:t>
      </w:r>
      <w:r w:rsidR="001D13B2" w:rsidRPr="00D34B07">
        <w:rPr>
          <w:rFonts w:ascii="Verdana" w:hAnsi="Verdana"/>
          <w:sz w:val="18"/>
          <w:szCs w:val="18"/>
        </w:rPr>
        <w:t xml:space="preserve"> quando da assinatura de um documento, </w:t>
      </w:r>
      <w:r w:rsidR="00990DA8">
        <w:rPr>
          <w:rFonts w:ascii="Verdana" w:hAnsi="Verdana"/>
          <w:sz w:val="18"/>
          <w:szCs w:val="18"/>
        </w:rPr>
        <w:t xml:space="preserve">em decorrência de equívocos administrativos internos, alheios à vontade das participantes, </w:t>
      </w:r>
      <w:r w:rsidR="001D13B2" w:rsidRPr="00D34B07">
        <w:rPr>
          <w:rFonts w:ascii="Verdana" w:hAnsi="Verdana"/>
          <w:sz w:val="18"/>
          <w:szCs w:val="18"/>
        </w:rPr>
        <w:t xml:space="preserve">visto que </w:t>
      </w:r>
      <w:r w:rsidR="00930031">
        <w:rPr>
          <w:rFonts w:ascii="Verdana" w:hAnsi="Verdana"/>
          <w:sz w:val="18"/>
          <w:szCs w:val="18"/>
        </w:rPr>
        <w:t xml:space="preserve">tal equívoco </w:t>
      </w:r>
      <w:r w:rsidR="001D13B2" w:rsidRPr="00D34B07">
        <w:rPr>
          <w:rFonts w:ascii="Verdana" w:hAnsi="Verdana"/>
          <w:sz w:val="18"/>
          <w:szCs w:val="18"/>
        </w:rPr>
        <w:t>não compromete</w:t>
      </w:r>
      <w:r w:rsidR="00990DA8">
        <w:rPr>
          <w:rFonts w:ascii="Verdana" w:hAnsi="Verdana"/>
          <w:sz w:val="18"/>
          <w:szCs w:val="18"/>
        </w:rPr>
        <w:t xml:space="preserve"> em nada o deslinde do processo.</w:t>
      </w:r>
    </w:p>
    <w:p w:rsidR="00B51E62" w:rsidRPr="00D34B07" w:rsidRDefault="00990DA8" w:rsidP="00376C25">
      <w:pPr>
        <w:pStyle w:val="NormalWeb"/>
        <w:ind w:firstLine="993"/>
        <w:jc w:val="both"/>
        <w:rPr>
          <w:rFonts w:ascii="Verdana" w:hAnsi="Verdana"/>
          <w:sz w:val="18"/>
          <w:szCs w:val="18"/>
        </w:rPr>
      </w:pPr>
      <w:r>
        <w:rPr>
          <w:rFonts w:ascii="Verdana" w:hAnsi="Verdana"/>
          <w:sz w:val="18"/>
          <w:szCs w:val="18"/>
        </w:rPr>
        <w:t>Por outro lado</w:t>
      </w:r>
      <w:r w:rsidR="001D13B2" w:rsidRPr="00D34B07">
        <w:rPr>
          <w:rFonts w:ascii="Verdana" w:hAnsi="Verdana"/>
          <w:sz w:val="18"/>
          <w:szCs w:val="18"/>
        </w:rPr>
        <w:t>, caso prevalecesse</w:t>
      </w:r>
      <w:r>
        <w:rPr>
          <w:rFonts w:ascii="Verdana" w:hAnsi="Verdana"/>
          <w:sz w:val="18"/>
          <w:szCs w:val="18"/>
        </w:rPr>
        <w:t xml:space="preserve">m </w:t>
      </w:r>
      <w:proofErr w:type="gramStart"/>
      <w:r>
        <w:rPr>
          <w:rFonts w:ascii="Verdana" w:hAnsi="Verdana"/>
          <w:sz w:val="18"/>
          <w:szCs w:val="18"/>
        </w:rPr>
        <w:t>as</w:t>
      </w:r>
      <w:proofErr w:type="gramEnd"/>
      <w:r>
        <w:rPr>
          <w:rFonts w:ascii="Verdana" w:hAnsi="Verdana"/>
          <w:sz w:val="18"/>
          <w:szCs w:val="18"/>
        </w:rPr>
        <w:t xml:space="preserve"> inabilitações, restringir-se-ia</w:t>
      </w:r>
      <w:r w:rsidR="001D13B2" w:rsidRPr="00D34B07">
        <w:rPr>
          <w:rFonts w:ascii="Verdana" w:hAnsi="Verdana"/>
          <w:sz w:val="18"/>
          <w:szCs w:val="18"/>
        </w:rPr>
        <w:t xml:space="preserve"> o número de licitantes, prejudicando a competitividade.</w:t>
      </w:r>
    </w:p>
    <w:p w:rsidR="00B51E62" w:rsidRPr="00D34B07" w:rsidRDefault="00B51E62" w:rsidP="00376C25">
      <w:pPr>
        <w:pStyle w:val="NormalWeb"/>
        <w:ind w:firstLine="993"/>
        <w:jc w:val="both"/>
        <w:rPr>
          <w:rFonts w:ascii="Verdana" w:hAnsi="Verdana"/>
          <w:sz w:val="18"/>
          <w:szCs w:val="18"/>
        </w:rPr>
      </w:pPr>
      <w:r w:rsidRPr="00D34B07">
        <w:rPr>
          <w:rFonts w:ascii="Verdana" w:hAnsi="Verdana"/>
          <w:sz w:val="18"/>
          <w:szCs w:val="18"/>
        </w:rPr>
        <w:t xml:space="preserve">Face ao exposto, </w:t>
      </w:r>
      <w:r w:rsidR="001D13B2" w:rsidRPr="00D34B07">
        <w:rPr>
          <w:rFonts w:ascii="Verdana" w:hAnsi="Verdana"/>
          <w:sz w:val="18"/>
          <w:szCs w:val="18"/>
        </w:rPr>
        <w:t xml:space="preserve">a Comissão Permanente de Licitações </w:t>
      </w:r>
      <w:proofErr w:type="gramStart"/>
      <w:r w:rsidR="001D13B2" w:rsidRPr="00D34B07">
        <w:rPr>
          <w:rFonts w:ascii="Verdana" w:hAnsi="Verdana"/>
          <w:sz w:val="18"/>
          <w:szCs w:val="18"/>
        </w:rPr>
        <w:t>da Provimento</w:t>
      </w:r>
      <w:proofErr w:type="gramEnd"/>
      <w:r w:rsidR="001D13B2" w:rsidRPr="00D34B07">
        <w:rPr>
          <w:rFonts w:ascii="Verdana" w:hAnsi="Verdana"/>
          <w:sz w:val="18"/>
          <w:szCs w:val="18"/>
        </w:rPr>
        <w:t xml:space="preserve"> aos recursos interpostos pelas empresas ELETRO HIDRÁULICA ÁGUIA BRANCA LTDA – EPP, ILUMITECH CONSTRUTORA LTDA E WT TECNOLOGIA GESTÃO E ENERGIA habilitando-as para a segunda fase do processo – Propostas</w:t>
      </w:r>
      <w:r w:rsidR="0062386C" w:rsidRPr="00D34B07">
        <w:rPr>
          <w:rFonts w:ascii="Verdana" w:hAnsi="Verdana"/>
          <w:sz w:val="18"/>
          <w:szCs w:val="18"/>
        </w:rPr>
        <w:t xml:space="preserve">, que fica, desde já, designada para o dia </w:t>
      </w:r>
      <w:r w:rsidR="000B6CFD">
        <w:rPr>
          <w:rFonts w:ascii="Verdana" w:hAnsi="Verdana"/>
          <w:sz w:val="18"/>
          <w:szCs w:val="18"/>
        </w:rPr>
        <w:t>11</w:t>
      </w:r>
      <w:bookmarkStart w:id="0" w:name="_GoBack"/>
      <w:bookmarkEnd w:id="0"/>
      <w:r w:rsidR="0062386C" w:rsidRPr="00D34B07">
        <w:rPr>
          <w:rFonts w:ascii="Verdana" w:hAnsi="Verdana"/>
          <w:sz w:val="18"/>
          <w:szCs w:val="18"/>
        </w:rPr>
        <w:t xml:space="preserve"> de novembro, às 10:15 horas</w:t>
      </w:r>
      <w:r w:rsidR="001D13B2" w:rsidRPr="00D34B07">
        <w:rPr>
          <w:rFonts w:ascii="Verdana" w:hAnsi="Verdana"/>
          <w:sz w:val="18"/>
          <w:szCs w:val="18"/>
        </w:rPr>
        <w:t>.</w:t>
      </w:r>
    </w:p>
    <w:p w:rsidR="00AE5A0A" w:rsidRDefault="00AE5A0A" w:rsidP="00376C25">
      <w:pPr>
        <w:pStyle w:val="NormalWeb"/>
        <w:ind w:firstLine="993"/>
        <w:jc w:val="both"/>
        <w:rPr>
          <w:rFonts w:ascii="Verdana" w:hAnsi="Verdana"/>
          <w:sz w:val="18"/>
          <w:szCs w:val="18"/>
        </w:rPr>
      </w:pPr>
    </w:p>
    <w:p w:rsidR="00AE5A0A" w:rsidRPr="00D34B07" w:rsidRDefault="00AE5A0A" w:rsidP="00376C25">
      <w:pPr>
        <w:pStyle w:val="NormalWeb"/>
        <w:ind w:firstLine="993"/>
        <w:jc w:val="both"/>
        <w:rPr>
          <w:rFonts w:ascii="Verdana" w:hAnsi="Verdana"/>
          <w:sz w:val="18"/>
          <w:szCs w:val="18"/>
        </w:rPr>
      </w:pPr>
    </w:p>
    <w:p w:rsidR="0062386C" w:rsidRPr="00D34B07" w:rsidRDefault="0062386C" w:rsidP="0062386C">
      <w:pPr>
        <w:pStyle w:val="NormalWeb"/>
        <w:spacing w:before="0" w:beforeAutospacing="0" w:after="0" w:afterAutospacing="0"/>
        <w:jc w:val="center"/>
        <w:rPr>
          <w:rFonts w:ascii="Verdana" w:hAnsi="Verdana"/>
          <w:b/>
          <w:sz w:val="18"/>
          <w:szCs w:val="18"/>
        </w:rPr>
      </w:pPr>
      <w:r w:rsidRPr="00D34B07">
        <w:rPr>
          <w:rFonts w:ascii="Verdana" w:hAnsi="Verdana"/>
          <w:b/>
          <w:sz w:val="18"/>
          <w:szCs w:val="18"/>
        </w:rPr>
        <w:t>ARIANE SOARES DE SOUZA</w:t>
      </w:r>
    </w:p>
    <w:p w:rsidR="0062386C" w:rsidRPr="00D34B07" w:rsidRDefault="0062386C" w:rsidP="0062386C">
      <w:pPr>
        <w:pStyle w:val="NormalWeb"/>
        <w:spacing w:before="0" w:beforeAutospacing="0" w:after="0" w:afterAutospacing="0"/>
        <w:jc w:val="center"/>
        <w:rPr>
          <w:rFonts w:ascii="Verdana" w:hAnsi="Verdana"/>
          <w:sz w:val="18"/>
          <w:szCs w:val="18"/>
        </w:rPr>
      </w:pPr>
      <w:r w:rsidRPr="00D34B07">
        <w:rPr>
          <w:rFonts w:ascii="Verdana" w:hAnsi="Verdana"/>
          <w:sz w:val="18"/>
          <w:szCs w:val="18"/>
        </w:rPr>
        <w:t>Comissão Permanente de Licitações</w:t>
      </w:r>
    </w:p>
    <w:p w:rsidR="0062386C" w:rsidRPr="00D34B07" w:rsidRDefault="0062386C" w:rsidP="0062386C">
      <w:pPr>
        <w:pStyle w:val="NormalWeb"/>
        <w:spacing w:before="0" w:beforeAutospacing="0" w:after="0" w:afterAutospacing="0"/>
        <w:jc w:val="center"/>
        <w:rPr>
          <w:rFonts w:ascii="Verdana" w:hAnsi="Verdana"/>
          <w:sz w:val="18"/>
          <w:szCs w:val="18"/>
        </w:rPr>
      </w:pPr>
      <w:r w:rsidRPr="00D34B07">
        <w:rPr>
          <w:rFonts w:ascii="Verdana" w:hAnsi="Verdana"/>
          <w:sz w:val="18"/>
          <w:szCs w:val="18"/>
        </w:rPr>
        <w:t>Presidente</w:t>
      </w:r>
    </w:p>
    <w:p w:rsidR="00B51E62" w:rsidRPr="00D34B07" w:rsidRDefault="00B51E62" w:rsidP="00376C25">
      <w:pPr>
        <w:pStyle w:val="NormalWeb"/>
        <w:ind w:firstLine="993"/>
        <w:jc w:val="both"/>
        <w:rPr>
          <w:rFonts w:ascii="Verdana" w:hAnsi="Verdana"/>
          <w:sz w:val="18"/>
          <w:szCs w:val="18"/>
        </w:rPr>
      </w:pPr>
    </w:p>
    <w:p w:rsidR="00F67935" w:rsidRPr="00D34B07" w:rsidRDefault="00F67935" w:rsidP="00C251AB">
      <w:pPr>
        <w:jc w:val="both"/>
        <w:rPr>
          <w:rFonts w:ascii="Verdana" w:hAnsi="Verdana"/>
          <w:sz w:val="18"/>
          <w:szCs w:val="18"/>
        </w:rPr>
      </w:pPr>
    </w:p>
    <w:sectPr w:rsidR="00F67935" w:rsidRPr="00D34B0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14" w:rsidRDefault="00FF6714" w:rsidP="00FF6714">
      <w:pPr>
        <w:spacing w:after="0" w:line="240" w:lineRule="auto"/>
      </w:pPr>
      <w:r>
        <w:separator/>
      </w:r>
    </w:p>
  </w:endnote>
  <w:endnote w:type="continuationSeparator" w:id="0">
    <w:p w:rsidR="00FF6714" w:rsidRDefault="00FF6714" w:rsidP="00F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14" w:rsidRDefault="00FF6714" w:rsidP="00FF6714">
      <w:pPr>
        <w:spacing w:after="0" w:line="240" w:lineRule="auto"/>
      </w:pPr>
      <w:r>
        <w:separator/>
      </w:r>
    </w:p>
  </w:footnote>
  <w:footnote w:type="continuationSeparator" w:id="0">
    <w:p w:rsidR="00FF6714" w:rsidRDefault="00FF6714" w:rsidP="00FF6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14" w:rsidRDefault="00FF6714" w:rsidP="00FF6714">
    <w:pPr>
      <w:pStyle w:val="Cabealho"/>
      <w:jc w:val="center"/>
      <w:rPr>
        <w:smallCaps/>
        <w:color w:val="000000"/>
        <w:sz w:val="34"/>
        <w:szCs w:val="34"/>
      </w:rPr>
    </w:pPr>
    <w:r>
      <w:rPr>
        <w:smallCaps/>
        <w:noProof/>
        <w:color w:val="000000"/>
        <w:sz w:val="34"/>
        <w:szCs w:val="34"/>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-342900</wp:posOffset>
          </wp:positionV>
          <wp:extent cx="648335" cy="60007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FF6714" w:rsidRDefault="00FF6714" w:rsidP="00FF6714">
    <w:pPr>
      <w:pStyle w:val="Cabealho"/>
      <w:spacing w:before="0" w:beforeAutospacing="0" w:after="0" w:afterAutospacing="0"/>
      <w:jc w:val="center"/>
      <w:rPr>
        <w:smallCaps/>
        <w:color w:val="000000"/>
        <w:sz w:val="28"/>
        <w:szCs w:val="28"/>
      </w:rPr>
    </w:pPr>
    <w:r w:rsidRPr="009852FD">
      <w:rPr>
        <w:smallCaps/>
        <w:color w:val="000000"/>
        <w:sz w:val="28"/>
        <w:szCs w:val="28"/>
      </w:rPr>
      <w:t>Prefeitura Municipal de Araraquara</w:t>
    </w:r>
  </w:p>
  <w:p w:rsidR="00FF6714" w:rsidRDefault="00FF6714" w:rsidP="00FF6714">
    <w:pPr>
      <w:pStyle w:val="Cabealho"/>
      <w:spacing w:before="0" w:beforeAutospacing="0" w:after="0" w:afterAutospacing="0"/>
      <w:jc w:val="center"/>
      <w:rPr>
        <w:rFonts w:ascii="Arial" w:hAnsi="Arial" w:cs="Arial"/>
        <w:b/>
        <w:bCs/>
        <w:color w:val="000080"/>
        <w:sz w:val="18"/>
        <w:szCs w:val="18"/>
      </w:rPr>
    </w:pPr>
    <w:r w:rsidRPr="009852FD">
      <w:rPr>
        <w:rFonts w:ascii="Arial" w:hAnsi="Arial" w:cs="Arial"/>
        <w:b/>
        <w:bCs/>
        <w:color w:val="000080"/>
        <w:sz w:val="18"/>
        <w:szCs w:val="18"/>
      </w:rPr>
      <w:t>SECRETARIA MUNICIPAL DE GESTÃO E FINANÇAS</w:t>
    </w:r>
  </w:p>
  <w:p w:rsidR="00FF6714" w:rsidRDefault="00FF67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E"/>
    <w:rsid w:val="000B6CFD"/>
    <w:rsid w:val="000C36FF"/>
    <w:rsid w:val="001D13B2"/>
    <w:rsid w:val="00260142"/>
    <w:rsid w:val="00263551"/>
    <w:rsid w:val="002A02F1"/>
    <w:rsid w:val="00376C25"/>
    <w:rsid w:val="0062386C"/>
    <w:rsid w:val="00690274"/>
    <w:rsid w:val="00864EC9"/>
    <w:rsid w:val="0087000B"/>
    <w:rsid w:val="008B4E2A"/>
    <w:rsid w:val="00923945"/>
    <w:rsid w:val="00930031"/>
    <w:rsid w:val="009706F0"/>
    <w:rsid w:val="0098768E"/>
    <w:rsid w:val="00990DA8"/>
    <w:rsid w:val="00A040B3"/>
    <w:rsid w:val="00A44DCC"/>
    <w:rsid w:val="00AE5A0A"/>
    <w:rsid w:val="00B51E62"/>
    <w:rsid w:val="00B859B2"/>
    <w:rsid w:val="00BB229E"/>
    <w:rsid w:val="00BE5931"/>
    <w:rsid w:val="00C00C8A"/>
    <w:rsid w:val="00C251AB"/>
    <w:rsid w:val="00C33D7B"/>
    <w:rsid w:val="00C85754"/>
    <w:rsid w:val="00D34B07"/>
    <w:rsid w:val="00DB3407"/>
    <w:rsid w:val="00E640A8"/>
    <w:rsid w:val="00EB4272"/>
    <w:rsid w:val="00F67935"/>
    <w:rsid w:val="00FF67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D34B07"/>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BB229E"/>
  </w:style>
  <w:style w:type="paragraph" w:styleId="Cabealho">
    <w:name w:val="header"/>
    <w:aliases w:val="Char"/>
    <w:basedOn w:val="Normal"/>
    <w:link w:val="CabealhoChar"/>
    <w:unhideWhenUsed/>
    <w:rsid w:val="00BB2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Char Char"/>
    <w:basedOn w:val="Fontepargpadro"/>
    <w:link w:val="Cabealho"/>
    <w:rsid w:val="00BB229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229E"/>
    <w:rPr>
      <w:b/>
      <w:bCs/>
    </w:rPr>
  </w:style>
  <w:style w:type="paragraph" w:customStyle="1" w:styleId="standard">
    <w:name w:val="standard"/>
    <w:basedOn w:val="Normal"/>
    <w:rsid w:val="00BB22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251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251AB"/>
    <w:rPr>
      <w:i/>
      <w:iCs/>
    </w:rPr>
  </w:style>
  <w:style w:type="paragraph" w:styleId="Rodap">
    <w:name w:val="footer"/>
    <w:basedOn w:val="Normal"/>
    <w:link w:val="RodapChar"/>
    <w:uiPriority w:val="99"/>
    <w:unhideWhenUsed/>
    <w:rsid w:val="00FF6714"/>
    <w:pPr>
      <w:tabs>
        <w:tab w:val="center" w:pos="4252"/>
        <w:tab w:val="right" w:pos="8504"/>
      </w:tabs>
      <w:spacing w:after="0" w:line="240" w:lineRule="auto"/>
    </w:pPr>
  </w:style>
  <w:style w:type="character" w:customStyle="1" w:styleId="RodapChar">
    <w:name w:val="Rodapé Char"/>
    <w:basedOn w:val="Fontepargpadro"/>
    <w:link w:val="Rodap"/>
    <w:uiPriority w:val="99"/>
    <w:rsid w:val="00FF6714"/>
  </w:style>
  <w:style w:type="character" w:styleId="Hyperlink">
    <w:name w:val="Hyperlink"/>
    <w:rsid w:val="00FF6714"/>
    <w:rPr>
      <w:color w:val="0000FF"/>
      <w:u w:val="single"/>
    </w:rPr>
  </w:style>
  <w:style w:type="character" w:customStyle="1" w:styleId="Ttulo2Char">
    <w:name w:val="Título 2 Char"/>
    <w:basedOn w:val="Fontepargpadro"/>
    <w:link w:val="Ttulo2"/>
    <w:rsid w:val="00D34B07"/>
    <w:rPr>
      <w:rFonts w:ascii="Arial" w:eastAsia="Times New Roman" w:hAnsi="Arial" w:cs="Arial"/>
      <w:b/>
      <w:bCs/>
      <w:i/>
      <w:iCs/>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D34B07"/>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BB229E"/>
  </w:style>
  <w:style w:type="paragraph" w:styleId="Cabealho">
    <w:name w:val="header"/>
    <w:aliases w:val="Char"/>
    <w:basedOn w:val="Normal"/>
    <w:link w:val="CabealhoChar"/>
    <w:unhideWhenUsed/>
    <w:rsid w:val="00BB2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Char Char"/>
    <w:basedOn w:val="Fontepargpadro"/>
    <w:link w:val="Cabealho"/>
    <w:rsid w:val="00BB229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229E"/>
    <w:rPr>
      <w:b/>
      <w:bCs/>
    </w:rPr>
  </w:style>
  <w:style w:type="paragraph" w:customStyle="1" w:styleId="standard">
    <w:name w:val="standard"/>
    <w:basedOn w:val="Normal"/>
    <w:rsid w:val="00BB22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251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251AB"/>
    <w:rPr>
      <w:i/>
      <w:iCs/>
    </w:rPr>
  </w:style>
  <w:style w:type="paragraph" w:styleId="Rodap">
    <w:name w:val="footer"/>
    <w:basedOn w:val="Normal"/>
    <w:link w:val="RodapChar"/>
    <w:uiPriority w:val="99"/>
    <w:unhideWhenUsed/>
    <w:rsid w:val="00FF6714"/>
    <w:pPr>
      <w:tabs>
        <w:tab w:val="center" w:pos="4252"/>
        <w:tab w:val="right" w:pos="8504"/>
      </w:tabs>
      <w:spacing w:after="0" w:line="240" w:lineRule="auto"/>
    </w:pPr>
  </w:style>
  <w:style w:type="character" w:customStyle="1" w:styleId="RodapChar">
    <w:name w:val="Rodapé Char"/>
    <w:basedOn w:val="Fontepargpadro"/>
    <w:link w:val="Rodap"/>
    <w:uiPriority w:val="99"/>
    <w:rsid w:val="00FF6714"/>
  </w:style>
  <w:style w:type="character" w:styleId="Hyperlink">
    <w:name w:val="Hyperlink"/>
    <w:rsid w:val="00FF6714"/>
    <w:rPr>
      <w:color w:val="0000FF"/>
      <w:u w:val="single"/>
    </w:rPr>
  </w:style>
  <w:style w:type="character" w:customStyle="1" w:styleId="Ttulo2Char">
    <w:name w:val="Título 2 Char"/>
    <w:basedOn w:val="Fontepargpadro"/>
    <w:link w:val="Ttulo2"/>
    <w:rsid w:val="00D34B07"/>
    <w:rPr>
      <w:rFonts w:ascii="Arial" w:eastAsia="Times New Roman" w:hAnsi="Arial" w:cs="Arial"/>
      <w:b/>
      <w:bCs/>
      <w:i/>
      <w:i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206">
      <w:bodyDiv w:val="1"/>
      <w:marLeft w:val="0"/>
      <w:marRight w:val="0"/>
      <w:marTop w:val="0"/>
      <w:marBottom w:val="0"/>
      <w:divBdr>
        <w:top w:val="none" w:sz="0" w:space="0" w:color="auto"/>
        <w:left w:val="none" w:sz="0" w:space="0" w:color="auto"/>
        <w:bottom w:val="none" w:sz="0" w:space="0" w:color="auto"/>
        <w:right w:val="none" w:sz="0" w:space="0" w:color="auto"/>
      </w:divBdr>
      <w:divsChild>
        <w:div w:id="415397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6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92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387530">
      <w:bodyDiv w:val="1"/>
      <w:marLeft w:val="0"/>
      <w:marRight w:val="0"/>
      <w:marTop w:val="0"/>
      <w:marBottom w:val="0"/>
      <w:divBdr>
        <w:top w:val="none" w:sz="0" w:space="0" w:color="auto"/>
        <w:left w:val="none" w:sz="0" w:space="0" w:color="auto"/>
        <w:bottom w:val="none" w:sz="0" w:space="0" w:color="auto"/>
        <w:right w:val="none" w:sz="0" w:space="0" w:color="auto"/>
      </w:divBdr>
      <w:divsChild>
        <w:div w:id="40226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9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1125</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22</cp:revision>
  <dcterms:created xsi:type="dcterms:W3CDTF">2019-11-04T20:56:00Z</dcterms:created>
  <dcterms:modified xsi:type="dcterms:W3CDTF">2019-11-05T21:01:00Z</dcterms:modified>
</cp:coreProperties>
</file>