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F6" w:rsidRPr="001A033C" w:rsidRDefault="001702F6" w:rsidP="00225384">
      <w:pPr>
        <w:spacing w:after="0" w:line="240" w:lineRule="auto"/>
        <w:ind w:left="785" w:right="791"/>
        <w:jc w:val="center"/>
        <w:rPr>
          <w:rFonts w:eastAsia="Arial" w:cs="Arial"/>
          <w:b/>
          <w:color w:val="000000"/>
          <w:sz w:val="40"/>
          <w:szCs w:val="40"/>
          <w:lang w:eastAsia="pt-BR"/>
        </w:rPr>
      </w:pPr>
      <w:r w:rsidRPr="001A033C">
        <w:rPr>
          <w:rFonts w:eastAsia="Arial" w:cs="Arial"/>
          <w:b/>
          <w:color w:val="000000"/>
          <w:sz w:val="40"/>
          <w:szCs w:val="40"/>
          <w:lang w:eastAsia="pt-BR"/>
        </w:rPr>
        <w:t>COMUNICADO</w:t>
      </w:r>
    </w:p>
    <w:p w:rsidR="001702F6" w:rsidRPr="001A033C" w:rsidRDefault="001702F6" w:rsidP="00225384">
      <w:pPr>
        <w:spacing w:after="0" w:line="240" w:lineRule="auto"/>
        <w:ind w:left="785" w:right="791"/>
        <w:jc w:val="center"/>
        <w:rPr>
          <w:rFonts w:eastAsia="Arial" w:cs="Arial"/>
          <w:b/>
          <w:color w:val="000000"/>
          <w:sz w:val="18"/>
          <w:szCs w:val="18"/>
          <w:lang w:eastAsia="pt-BR"/>
        </w:rPr>
      </w:pPr>
    </w:p>
    <w:p w:rsidR="00E84A65" w:rsidRPr="001A033C" w:rsidRDefault="005B6C9A" w:rsidP="00225384">
      <w:pPr>
        <w:spacing w:after="0" w:line="240" w:lineRule="auto"/>
        <w:ind w:left="785" w:right="791"/>
        <w:jc w:val="center"/>
        <w:rPr>
          <w:rFonts w:eastAsia="Arial" w:cs="Arial"/>
          <w:color w:val="000000"/>
          <w:sz w:val="18"/>
          <w:szCs w:val="18"/>
          <w:lang w:eastAsia="pt-BR"/>
        </w:rPr>
      </w:pPr>
      <w:r w:rsidRPr="001A033C">
        <w:rPr>
          <w:rFonts w:eastAsia="Arial" w:cs="Arial"/>
          <w:b/>
          <w:color w:val="000000"/>
          <w:sz w:val="18"/>
          <w:szCs w:val="18"/>
          <w:lang w:eastAsia="pt-BR"/>
        </w:rPr>
        <w:t>CONCORRÊNCIA Nº 003/2019</w:t>
      </w:r>
    </w:p>
    <w:p w:rsidR="00E84A65" w:rsidRPr="001A033C" w:rsidRDefault="00E84A65" w:rsidP="00225384">
      <w:pPr>
        <w:keepNext/>
        <w:keepLines/>
        <w:spacing w:after="0" w:line="240" w:lineRule="auto"/>
        <w:ind w:left="35" w:right="4" w:hanging="10"/>
        <w:jc w:val="center"/>
        <w:outlineLvl w:val="0"/>
        <w:rPr>
          <w:rFonts w:eastAsia="Arial" w:cs="Arial"/>
          <w:b/>
          <w:color w:val="000000"/>
          <w:sz w:val="18"/>
          <w:szCs w:val="18"/>
          <w:lang w:eastAsia="pt-BR"/>
        </w:rPr>
      </w:pPr>
      <w:r w:rsidRPr="001A033C">
        <w:rPr>
          <w:rFonts w:eastAsia="Arial" w:cs="Arial"/>
          <w:b/>
          <w:color w:val="000000"/>
          <w:sz w:val="18"/>
          <w:szCs w:val="18"/>
          <w:lang w:eastAsia="pt-BR"/>
        </w:rPr>
        <w:t>PROCESSO Nº 3417/2019</w:t>
      </w:r>
    </w:p>
    <w:p w:rsidR="00E84A65" w:rsidRPr="001A033C" w:rsidRDefault="00E84A65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E362CB" w:rsidRDefault="00E362CB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3C4720" w:rsidRDefault="003C4720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3C4720" w:rsidRPr="001A033C" w:rsidRDefault="003C4720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E84A65" w:rsidRPr="001A033C" w:rsidRDefault="00E84A65" w:rsidP="00225384">
      <w:pPr>
        <w:spacing w:after="0" w:line="240" w:lineRule="auto"/>
        <w:jc w:val="right"/>
        <w:rPr>
          <w:rFonts w:eastAsia="Times New Roman" w:cs="Calibri"/>
          <w:sz w:val="18"/>
          <w:szCs w:val="18"/>
          <w:lang w:eastAsia="pt-BR"/>
        </w:rPr>
      </w:pPr>
      <w:r w:rsidRPr="001A033C">
        <w:rPr>
          <w:rFonts w:eastAsia="Times New Roman" w:cs="Calibri"/>
          <w:sz w:val="18"/>
          <w:szCs w:val="18"/>
          <w:lang w:eastAsia="pt-BR"/>
        </w:rPr>
        <w:t xml:space="preserve">Araraquara, </w:t>
      </w:r>
      <w:r w:rsidR="005C4AA9" w:rsidRPr="001A033C">
        <w:rPr>
          <w:rFonts w:eastAsia="Times New Roman" w:cs="Calibri"/>
          <w:sz w:val="18"/>
          <w:szCs w:val="18"/>
          <w:lang w:eastAsia="pt-BR"/>
        </w:rPr>
        <w:t>2</w:t>
      </w:r>
      <w:r w:rsidR="002B02BC">
        <w:rPr>
          <w:rFonts w:eastAsia="Times New Roman" w:cs="Calibri"/>
          <w:sz w:val="18"/>
          <w:szCs w:val="18"/>
          <w:lang w:eastAsia="pt-BR"/>
        </w:rPr>
        <w:t>3</w:t>
      </w:r>
      <w:r w:rsidRPr="001A033C">
        <w:rPr>
          <w:rFonts w:eastAsia="Times New Roman" w:cs="Calibri"/>
          <w:sz w:val="18"/>
          <w:szCs w:val="18"/>
          <w:lang w:eastAsia="pt-BR"/>
        </w:rPr>
        <w:t xml:space="preserve"> de </w:t>
      </w:r>
      <w:r w:rsidR="002C1C95" w:rsidRPr="001A033C">
        <w:rPr>
          <w:rFonts w:eastAsia="Times New Roman" w:cs="Calibri"/>
          <w:sz w:val="18"/>
          <w:szCs w:val="18"/>
          <w:lang w:eastAsia="pt-BR"/>
        </w:rPr>
        <w:t>outubro</w:t>
      </w:r>
      <w:r w:rsidRPr="001A033C">
        <w:rPr>
          <w:rFonts w:eastAsia="Times New Roman" w:cs="Calibri"/>
          <w:sz w:val="18"/>
          <w:szCs w:val="18"/>
          <w:lang w:eastAsia="pt-BR"/>
        </w:rPr>
        <w:t xml:space="preserve"> de 2019.</w:t>
      </w:r>
    </w:p>
    <w:p w:rsidR="00E84A65" w:rsidRDefault="00E84A65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3C4720" w:rsidRDefault="003C4720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3C4720" w:rsidRPr="001A033C" w:rsidRDefault="003C4720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E362CB" w:rsidRPr="001A033C" w:rsidRDefault="00E362CB" w:rsidP="00225384">
      <w:pPr>
        <w:spacing w:after="0" w:line="240" w:lineRule="auto"/>
        <w:ind w:left="48" w:right="35" w:hanging="8"/>
        <w:jc w:val="both"/>
        <w:rPr>
          <w:rFonts w:eastAsia="Arial" w:cs="Arial"/>
          <w:color w:val="000000"/>
          <w:sz w:val="18"/>
          <w:szCs w:val="18"/>
          <w:lang w:eastAsia="pt-BR"/>
        </w:rPr>
      </w:pPr>
    </w:p>
    <w:p w:rsidR="00E84A65" w:rsidRPr="001A033C" w:rsidRDefault="00E84A65" w:rsidP="00662705">
      <w:pPr>
        <w:keepNext/>
        <w:keepLines/>
        <w:spacing w:after="0" w:line="240" w:lineRule="auto"/>
        <w:ind w:left="35" w:right="4"/>
        <w:jc w:val="both"/>
        <w:outlineLvl w:val="0"/>
        <w:rPr>
          <w:rFonts w:eastAsia="Arial" w:cs="Arial"/>
          <w:b/>
          <w:color w:val="000000"/>
          <w:sz w:val="18"/>
          <w:szCs w:val="18"/>
          <w:lang w:eastAsia="pt-BR"/>
        </w:rPr>
      </w:pPr>
      <w:r w:rsidRPr="001A033C">
        <w:rPr>
          <w:rFonts w:eastAsia="Arial" w:cs="Arial"/>
          <w:b/>
          <w:color w:val="000000"/>
          <w:sz w:val="18"/>
          <w:szCs w:val="18"/>
          <w:lang w:eastAsia="pt-BR"/>
        </w:rPr>
        <w:t xml:space="preserve">OBJETO: </w:t>
      </w:r>
      <w:bookmarkStart w:id="0" w:name="_Hlk1678614"/>
      <w:r w:rsidRPr="001A033C">
        <w:rPr>
          <w:rFonts w:eastAsia="Arial" w:cs="Arial"/>
          <w:b/>
          <w:color w:val="000000"/>
          <w:sz w:val="18"/>
          <w:szCs w:val="18"/>
          <w:lang w:eastAsia="pt-BR"/>
        </w:rPr>
        <w:t>CONCESSÃO ONEROSA DOS SERVIÇOS PUBLI</w:t>
      </w:r>
      <w:r w:rsidR="00662705" w:rsidRPr="001A033C">
        <w:rPr>
          <w:rFonts w:eastAsia="Arial" w:cs="Arial"/>
          <w:b/>
          <w:color w:val="000000"/>
          <w:sz w:val="18"/>
          <w:szCs w:val="18"/>
          <w:lang w:eastAsia="pt-BR"/>
        </w:rPr>
        <w:t xml:space="preserve">COS DE ADMINISTRAÇÃO, REMOÇÃO, TRANSPORTE E GUARDA DE </w:t>
      </w:r>
      <w:r w:rsidRPr="001A033C">
        <w:rPr>
          <w:rFonts w:eastAsia="Arial" w:cs="Arial"/>
          <w:b/>
          <w:color w:val="000000"/>
          <w:sz w:val="18"/>
          <w:szCs w:val="18"/>
          <w:lang w:eastAsia="pt-BR"/>
        </w:rPr>
        <w:t>CARCAÇAS DE VEÍCULOS ABANDONADOS EM VIAS PÚBLICAS E INFRATORES À LEGISLAÇÃO DE TRÂNSITO, INCLUINDO A GESTÃO POR CENTRO DE CONTROLE OPERACIONAL MUNIDO DE SISTEMA INFORMATIZADO POR SOFTWARE PARA GESTÃO DOS VEÍCULOS APREENDIDOS, CENTRAL DE MONITORAMENTO POR CÂMERAS, RASTREABILIDADE DOS VEÍCULOS GUINCHO E PREPARAÇÃO, PLANEJAMENTO, AVALIAÇÃO TÉCNICA, ORGANIZAÇÃO E APOIO AO PODER PÚBLICO PARA REALIZAÇÃO DE LEILÕES DE VEICULOS</w:t>
      </w:r>
      <w:bookmarkEnd w:id="0"/>
      <w:r w:rsidRPr="001A033C">
        <w:rPr>
          <w:rFonts w:eastAsia="Arial" w:cs="Arial"/>
          <w:b/>
          <w:color w:val="000000"/>
          <w:sz w:val="18"/>
          <w:szCs w:val="18"/>
          <w:lang w:eastAsia="pt-BR"/>
        </w:rPr>
        <w:t>.</w:t>
      </w:r>
    </w:p>
    <w:p w:rsidR="00225384" w:rsidRDefault="00225384" w:rsidP="00225384">
      <w:pPr>
        <w:spacing w:after="0" w:line="240" w:lineRule="auto"/>
        <w:jc w:val="center"/>
        <w:rPr>
          <w:b/>
          <w:sz w:val="18"/>
          <w:szCs w:val="18"/>
        </w:rPr>
      </w:pPr>
    </w:p>
    <w:p w:rsidR="003C4720" w:rsidRPr="001A033C" w:rsidRDefault="003C4720" w:rsidP="00225384">
      <w:pPr>
        <w:spacing w:after="0" w:line="240" w:lineRule="auto"/>
        <w:jc w:val="center"/>
        <w:rPr>
          <w:b/>
          <w:sz w:val="18"/>
          <w:szCs w:val="18"/>
        </w:rPr>
      </w:pPr>
    </w:p>
    <w:p w:rsidR="001702F6" w:rsidRPr="001A033C" w:rsidRDefault="001702F6" w:rsidP="001702F6">
      <w:pPr>
        <w:spacing w:after="0" w:line="360" w:lineRule="auto"/>
        <w:ind w:firstLine="1701"/>
        <w:jc w:val="both"/>
        <w:rPr>
          <w:sz w:val="18"/>
          <w:szCs w:val="18"/>
        </w:rPr>
      </w:pPr>
      <w:r w:rsidRPr="001A033C">
        <w:rPr>
          <w:sz w:val="18"/>
          <w:szCs w:val="18"/>
        </w:rPr>
        <w:t>Vimos, através deste comunicar o que segue:</w:t>
      </w:r>
    </w:p>
    <w:p w:rsidR="001702F6" w:rsidRPr="001A033C" w:rsidRDefault="001702F6" w:rsidP="001702F6">
      <w:pPr>
        <w:spacing w:after="0" w:line="360" w:lineRule="auto"/>
        <w:ind w:firstLine="1701"/>
        <w:jc w:val="both"/>
        <w:rPr>
          <w:sz w:val="18"/>
          <w:szCs w:val="18"/>
        </w:rPr>
      </w:pPr>
      <w:r w:rsidRPr="001A033C">
        <w:rPr>
          <w:sz w:val="18"/>
          <w:szCs w:val="18"/>
        </w:rPr>
        <w:t>O presente certame encontra-se em fase de recurso em relação às propostas apresentadas.</w:t>
      </w:r>
    </w:p>
    <w:p w:rsidR="001702F6" w:rsidRPr="001A033C" w:rsidRDefault="001702F6" w:rsidP="001702F6">
      <w:pPr>
        <w:spacing w:after="0" w:line="360" w:lineRule="auto"/>
        <w:ind w:firstLine="1701"/>
        <w:jc w:val="both"/>
        <w:rPr>
          <w:sz w:val="18"/>
          <w:szCs w:val="18"/>
        </w:rPr>
      </w:pPr>
      <w:r w:rsidRPr="001A033C">
        <w:rPr>
          <w:sz w:val="18"/>
          <w:szCs w:val="18"/>
        </w:rPr>
        <w:t>No entanto, tendo em vista que a Comissão Permanente de Licitações, no dia 21 de outubro de 2019, obteve</w:t>
      </w:r>
      <w:r w:rsidR="00FA313A">
        <w:rPr>
          <w:sz w:val="18"/>
          <w:szCs w:val="18"/>
        </w:rPr>
        <w:t>, através de documento protocolizado,</w:t>
      </w:r>
      <w:r w:rsidRPr="001A033C">
        <w:rPr>
          <w:sz w:val="18"/>
          <w:szCs w:val="18"/>
        </w:rPr>
        <w:t xml:space="preserve"> informação que diz respeito </w:t>
      </w:r>
      <w:r w:rsidR="00A25451">
        <w:rPr>
          <w:sz w:val="18"/>
          <w:szCs w:val="18"/>
        </w:rPr>
        <w:t>a questionamento referente</w:t>
      </w:r>
      <w:r w:rsidR="00A4432C">
        <w:rPr>
          <w:sz w:val="18"/>
          <w:szCs w:val="18"/>
        </w:rPr>
        <w:t xml:space="preserve"> </w:t>
      </w:r>
      <w:r w:rsidRPr="001A033C">
        <w:rPr>
          <w:sz w:val="18"/>
          <w:szCs w:val="18"/>
        </w:rPr>
        <w:t>à habilitação da empresa ARMATRANS LOGÍSTICA LTDA, tal prazo fica, desde já, suspenso.</w:t>
      </w:r>
    </w:p>
    <w:p w:rsidR="001702F6" w:rsidRDefault="009D7F26" w:rsidP="001702F6">
      <w:pPr>
        <w:spacing w:after="0" w:line="360" w:lineRule="auto"/>
        <w:ind w:firstLine="1701"/>
        <w:jc w:val="both"/>
        <w:rPr>
          <w:sz w:val="18"/>
          <w:szCs w:val="18"/>
        </w:rPr>
      </w:pPr>
      <w:r>
        <w:rPr>
          <w:sz w:val="18"/>
          <w:szCs w:val="18"/>
        </w:rPr>
        <w:t>Naquela</w:t>
      </w:r>
      <w:r w:rsidR="00A4432C">
        <w:rPr>
          <w:sz w:val="18"/>
          <w:szCs w:val="18"/>
        </w:rPr>
        <w:t xml:space="preserve"> data</w:t>
      </w:r>
      <w:r w:rsidR="001702F6" w:rsidRPr="001A033C">
        <w:rPr>
          <w:sz w:val="18"/>
          <w:szCs w:val="18"/>
        </w:rPr>
        <w:t xml:space="preserve"> chegou ao conhecimento desta Comissão, o ofício nº 404/2019, expedido pelo DETRAN</w:t>
      </w:r>
      <w:r w:rsidR="003C4720">
        <w:rPr>
          <w:sz w:val="18"/>
          <w:szCs w:val="18"/>
        </w:rPr>
        <w:t>/SP</w:t>
      </w:r>
      <w:r w:rsidR="001702F6" w:rsidRPr="001A033C">
        <w:rPr>
          <w:sz w:val="18"/>
          <w:szCs w:val="18"/>
        </w:rPr>
        <w:t>, através de seu Gerente Setorial de Pátios e Leilões</w:t>
      </w:r>
      <w:r w:rsidR="0023730A">
        <w:rPr>
          <w:sz w:val="18"/>
          <w:szCs w:val="18"/>
        </w:rPr>
        <w:t xml:space="preserve">, Sr. Renan </w:t>
      </w:r>
      <w:proofErr w:type="spellStart"/>
      <w:r w:rsidR="0023730A">
        <w:rPr>
          <w:sz w:val="18"/>
          <w:szCs w:val="18"/>
        </w:rPr>
        <w:t>Verzola</w:t>
      </w:r>
      <w:proofErr w:type="spellEnd"/>
      <w:r w:rsidR="0023730A">
        <w:rPr>
          <w:sz w:val="18"/>
          <w:szCs w:val="18"/>
        </w:rPr>
        <w:t xml:space="preserve"> Ribeiro</w:t>
      </w:r>
      <w:r w:rsidR="001702F6" w:rsidRPr="001A033C">
        <w:rPr>
          <w:sz w:val="18"/>
          <w:szCs w:val="18"/>
        </w:rPr>
        <w:t>, no qual</w:t>
      </w:r>
      <w:r w:rsidR="00EE1A0D" w:rsidRPr="001A033C">
        <w:rPr>
          <w:sz w:val="18"/>
          <w:szCs w:val="18"/>
        </w:rPr>
        <w:t xml:space="preserve"> o mesmo relata que o atestado</w:t>
      </w:r>
      <w:r>
        <w:rPr>
          <w:sz w:val="18"/>
          <w:szCs w:val="18"/>
        </w:rPr>
        <w:t xml:space="preserve"> de capacidade técnica</w:t>
      </w:r>
      <w:proofErr w:type="gramStart"/>
      <w:r>
        <w:rPr>
          <w:sz w:val="18"/>
          <w:szCs w:val="18"/>
        </w:rPr>
        <w:t xml:space="preserve"> </w:t>
      </w:r>
      <w:r w:rsidR="00EE1A0D" w:rsidRPr="001A033C">
        <w:rPr>
          <w:sz w:val="18"/>
          <w:szCs w:val="18"/>
        </w:rPr>
        <w:t xml:space="preserve"> </w:t>
      </w:r>
      <w:proofErr w:type="gramEnd"/>
      <w:r w:rsidR="00EE1A0D" w:rsidRPr="001A033C">
        <w:rPr>
          <w:sz w:val="18"/>
          <w:szCs w:val="18"/>
        </w:rPr>
        <w:t>fornecido para a empresa ARMATRANS LOGÍSTICA LTDA</w:t>
      </w:r>
      <w:r w:rsidR="003C4720">
        <w:rPr>
          <w:sz w:val="18"/>
          <w:szCs w:val="18"/>
        </w:rPr>
        <w:t xml:space="preserve"> juntado aos autos do processo às fls. 823, </w:t>
      </w:r>
      <w:r w:rsidR="00EE1A0D" w:rsidRPr="001A033C">
        <w:rPr>
          <w:sz w:val="18"/>
          <w:szCs w:val="18"/>
        </w:rPr>
        <w:t xml:space="preserve">a fim de comprovação de habilitação no processo licitatório em questão foi elaborado </w:t>
      </w:r>
      <w:r w:rsidR="00EE1A0D" w:rsidRPr="009D7F26">
        <w:rPr>
          <w:b/>
          <w:sz w:val="18"/>
          <w:szCs w:val="18"/>
          <w:u w:val="single"/>
        </w:rPr>
        <w:t>equivocadamente</w:t>
      </w:r>
      <w:r w:rsidR="00EE1A0D" w:rsidRPr="001A033C">
        <w:rPr>
          <w:sz w:val="18"/>
          <w:szCs w:val="18"/>
        </w:rPr>
        <w:t>. Afirma que</w:t>
      </w:r>
      <w:r w:rsidR="0020689A">
        <w:rPr>
          <w:sz w:val="18"/>
          <w:szCs w:val="18"/>
        </w:rPr>
        <w:t>, quando emitiu tal atestado</w:t>
      </w:r>
      <w:r w:rsidR="00EE1A0D" w:rsidRPr="001A033C">
        <w:rPr>
          <w:sz w:val="18"/>
          <w:szCs w:val="18"/>
        </w:rPr>
        <w:t xml:space="preserve"> foi induzido a erro, pois supôs que a empresa ARMATRANS LOGÍSTICA LTDA fosse uma filial da empresa OCTÁGONO SERVIÇOS LTDA, empresa esta que </w:t>
      </w:r>
      <w:r>
        <w:rPr>
          <w:sz w:val="18"/>
          <w:szCs w:val="18"/>
        </w:rPr>
        <w:t xml:space="preserve">efetivamente </w:t>
      </w:r>
      <w:r w:rsidR="00EE1A0D" w:rsidRPr="001A033C">
        <w:rPr>
          <w:sz w:val="18"/>
          <w:szCs w:val="18"/>
        </w:rPr>
        <w:t>presta os serviços descritos</w:t>
      </w:r>
      <w:r w:rsidR="00A4432C">
        <w:rPr>
          <w:sz w:val="18"/>
          <w:szCs w:val="18"/>
        </w:rPr>
        <w:t xml:space="preserve"> no</w:t>
      </w:r>
      <w:r w:rsidR="00EE1A0D" w:rsidRPr="001A033C">
        <w:rPr>
          <w:sz w:val="18"/>
          <w:szCs w:val="18"/>
        </w:rPr>
        <w:t xml:space="preserve"> </w:t>
      </w:r>
      <w:r w:rsidR="003C4720">
        <w:rPr>
          <w:sz w:val="18"/>
          <w:szCs w:val="18"/>
        </w:rPr>
        <w:t>referido atestado</w:t>
      </w:r>
      <w:r>
        <w:rPr>
          <w:sz w:val="18"/>
          <w:szCs w:val="18"/>
        </w:rPr>
        <w:t>, de modo que restou caracterizado que a empresa</w:t>
      </w:r>
      <w:r w:rsidRPr="009D7F26">
        <w:rPr>
          <w:sz w:val="18"/>
          <w:szCs w:val="18"/>
        </w:rPr>
        <w:t xml:space="preserve"> </w:t>
      </w:r>
      <w:r w:rsidRPr="001A033C">
        <w:rPr>
          <w:sz w:val="18"/>
          <w:szCs w:val="18"/>
        </w:rPr>
        <w:t>ARMATRANS LOGÍSTICA LTDA</w:t>
      </w:r>
      <w:r>
        <w:rPr>
          <w:sz w:val="18"/>
          <w:szCs w:val="18"/>
        </w:rPr>
        <w:t xml:space="preserve"> não prestou os serviços no âmbito da 73ª CIRETRAN, restando, portanto, sem comprovação das exigências do </w:t>
      </w:r>
      <w:r w:rsidRPr="001A033C">
        <w:rPr>
          <w:sz w:val="18"/>
          <w:szCs w:val="18"/>
        </w:rPr>
        <w:t xml:space="preserve">item </w:t>
      </w:r>
      <w:r>
        <w:rPr>
          <w:sz w:val="18"/>
          <w:szCs w:val="18"/>
        </w:rPr>
        <w:t>5.3.1.4, no que tange</w:t>
      </w:r>
      <w:r w:rsidRPr="001A033C">
        <w:rPr>
          <w:sz w:val="18"/>
          <w:szCs w:val="18"/>
        </w:rPr>
        <w:t xml:space="preserve"> </w:t>
      </w:r>
      <w:r>
        <w:rPr>
          <w:sz w:val="18"/>
          <w:szCs w:val="18"/>
        </w:rPr>
        <w:t>ao</w:t>
      </w:r>
      <w:r w:rsidRPr="001A033C">
        <w:rPr>
          <w:sz w:val="18"/>
          <w:szCs w:val="18"/>
        </w:rPr>
        <w:t xml:space="preserve"> software de rastreabilidade de veículos guincho e central de monitoramento por câmeras</w:t>
      </w:r>
      <w:r w:rsidR="00EE1A0D" w:rsidRPr="001A033C">
        <w:rPr>
          <w:sz w:val="18"/>
          <w:szCs w:val="18"/>
        </w:rPr>
        <w:t xml:space="preserve">. </w:t>
      </w:r>
    </w:p>
    <w:p w:rsidR="001A033C" w:rsidRDefault="00EE1A0D" w:rsidP="001702F6">
      <w:pPr>
        <w:spacing w:after="0" w:line="360" w:lineRule="auto"/>
        <w:ind w:firstLine="1701"/>
        <w:jc w:val="both"/>
        <w:rPr>
          <w:rFonts w:cs="Arial"/>
          <w:sz w:val="18"/>
          <w:szCs w:val="18"/>
        </w:rPr>
      </w:pPr>
      <w:r w:rsidRPr="001A033C">
        <w:rPr>
          <w:sz w:val="18"/>
          <w:szCs w:val="18"/>
        </w:rPr>
        <w:t xml:space="preserve">Neste sentido, a Comissão Permanente de Licitações resolve desclassificar a empresa ARMATRANS LOGÍSTICA LTDA por fato superveniente, conforme dispõe o </w:t>
      </w:r>
      <w:r w:rsidR="001A033C" w:rsidRPr="001A033C">
        <w:rPr>
          <w:sz w:val="18"/>
          <w:szCs w:val="18"/>
        </w:rPr>
        <w:t xml:space="preserve">art. 43, </w:t>
      </w:r>
      <w:r w:rsidR="001A033C" w:rsidRPr="001A033C">
        <w:rPr>
          <w:rFonts w:cs="Arial"/>
          <w:sz w:val="18"/>
          <w:szCs w:val="18"/>
        </w:rPr>
        <w:t>§ 5</w:t>
      </w:r>
      <w:r w:rsidR="001A033C" w:rsidRPr="001A033C">
        <w:rPr>
          <w:rFonts w:cs="Arial"/>
          <w:sz w:val="18"/>
          <w:szCs w:val="18"/>
          <w:u w:val="single"/>
          <w:vertAlign w:val="superscript"/>
        </w:rPr>
        <w:t>o</w:t>
      </w:r>
      <w:r w:rsidR="001A033C" w:rsidRPr="001A033C">
        <w:rPr>
          <w:rFonts w:cs="Arial"/>
          <w:sz w:val="18"/>
          <w:szCs w:val="18"/>
        </w:rPr>
        <w:t>  da Lei 8.666/93, que reza:</w:t>
      </w:r>
    </w:p>
    <w:p w:rsidR="003C4720" w:rsidRPr="001A033C" w:rsidRDefault="003C4720" w:rsidP="001702F6">
      <w:pPr>
        <w:spacing w:after="0" w:line="360" w:lineRule="auto"/>
        <w:ind w:firstLine="1701"/>
        <w:jc w:val="both"/>
        <w:rPr>
          <w:rFonts w:cs="Arial"/>
          <w:sz w:val="18"/>
          <w:szCs w:val="18"/>
        </w:rPr>
      </w:pPr>
    </w:p>
    <w:p w:rsidR="00EE1A0D" w:rsidRDefault="001A033C" w:rsidP="001A033C">
      <w:pPr>
        <w:spacing w:after="0" w:line="360" w:lineRule="auto"/>
        <w:ind w:left="1843"/>
        <w:jc w:val="both"/>
        <w:rPr>
          <w:rFonts w:cs="Arial"/>
          <w:sz w:val="18"/>
          <w:szCs w:val="18"/>
        </w:rPr>
      </w:pPr>
      <w:r w:rsidRPr="001A033C">
        <w:rPr>
          <w:rFonts w:cs="Arial"/>
          <w:sz w:val="18"/>
          <w:szCs w:val="18"/>
        </w:rPr>
        <w:t>“</w:t>
      </w:r>
      <w:r w:rsidRPr="001A033C">
        <w:rPr>
          <w:rFonts w:cs="Arial"/>
          <w:i/>
          <w:sz w:val="18"/>
          <w:szCs w:val="18"/>
        </w:rPr>
        <w:t xml:space="preserve">Ultrapassada a fase de habilitação dos concorrentes (incisos I e II) e abertas </w:t>
      </w:r>
      <w:proofErr w:type="gramStart"/>
      <w:r w:rsidRPr="001A033C">
        <w:rPr>
          <w:rFonts w:cs="Arial"/>
          <w:i/>
          <w:sz w:val="18"/>
          <w:szCs w:val="18"/>
        </w:rPr>
        <w:t>as</w:t>
      </w:r>
      <w:proofErr w:type="gramEnd"/>
      <w:r w:rsidRPr="001A033C">
        <w:rPr>
          <w:rFonts w:cs="Arial"/>
          <w:i/>
          <w:sz w:val="18"/>
          <w:szCs w:val="18"/>
        </w:rPr>
        <w:t xml:space="preserve"> propostas (inciso III), não cabe desclassificá-los por motivo relacionado com a habilitação, </w:t>
      </w:r>
      <w:r w:rsidRPr="003C4720">
        <w:rPr>
          <w:rFonts w:cs="Arial"/>
          <w:b/>
          <w:i/>
          <w:sz w:val="18"/>
          <w:szCs w:val="18"/>
          <w:u w:val="single"/>
        </w:rPr>
        <w:t xml:space="preserve">salvo em razão de fatos supervenientes </w:t>
      </w:r>
      <w:r w:rsidRPr="001A033C">
        <w:rPr>
          <w:rFonts w:cs="Arial"/>
          <w:i/>
          <w:sz w:val="18"/>
          <w:szCs w:val="18"/>
        </w:rPr>
        <w:t>ou só conhecidos após o julgamento</w:t>
      </w:r>
      <w:r w:rsidRPr="001A033C">
        <w:rPr>
          <w:rFonts w:cs="Arial"/>
          <w:sz w:val="18"/>
          <w:szCs w:val="18"/>
        </w:rPr>
        <w:t>.”</w:t>
      </w:r>
      <w:r w:rsidR="003C4720">
        <w:rPr>
          <w:rFonts w:cs="Arial"/>
          <w:sz w:val="18"/>
          <w:szCs w:val="18"/>
        </w:rPr>
        <w:t>(</w:t>
      </w:r>
      <w:proofErr w:type="spellStart"/>
      <w:r w:rsidR="003C4720">
        <w:rPr>
          <w:rFonts w:cs="Arial"/>
          <w:sz w:val="18"/>
          <w:szCs w:val="18"/>
        </w:rPr>
        <w:t>g.n</w:t>
      </w:r>
      <w:proofErr w:type="spellEnd"/>
      <w:r w:rsidR="003C4720">
        <w:rPr>
          <w:rFonts w:cs="Arial"/>
          <w:sz w:val="18"/>
          <w:szCs w:val="18"/>
        </w:rPr>
        <w:t>.)</w:t>
      </w:r>
    </w:p>
    <w:p w:rsidR="003C4720" w:rsidRPr="001A033C" w:rsidRDefault="003C4720" w:rsidP="001A033C">
      <w:pPr>
        <w:spacing w:after="0" w:line="360" w:lineRule="auto"/>
        <w:ind w:left="1843"/>
        <w:jc w:val="both"/>
        <w:rPr>
          <w:rFonts w:cs="Arial"/>
          <w:sz w:val="18"/>
          <w:szCs w:val="18"/>
        </w:rPr>
      </w:pPr>
    </w:p>
    <w:p w:rsidR="001A033C" w:rsidRDefault="00A4432C" w:rsidP="001A033C">
      <w:pPr>
        <w:spacing w:after="0" w:line="360" w:lineRule="auto"/>
        <w:ind w:firstLine="1701"/>
        <w:jc w:val="both"/>
        <w:rPr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 xml:space="preserve">Sua desclassificação merece </w:t>
      </w:r>
      <w:r w:rsidR="00EF118F">
        <w:rPr>
          <w:rFonts w:cs="Arial"/>
          <w:sz w:val="18"/>
          <w:szCs w:val="18"/>
        </w:rPr>
        <w:t>prosperar,</w:t>
      </w:r>
      <w:r>
        <w:rPr>
          <w:rFonts w:cs="Arial"/>
          <w:sz w:val="18"/>
          <w:szCs w:val="18"/>
        </w:rPr>
        <w:t xml:space="preserve"> pois, </w:t>
      </w:r>
      <w:r w:rsidR="0023730A">
        <w:rPr>
          <w:rFonts w:cs="Arial"/>
          <w:sz w:val="18"/>
          <w:szCs w:val="18"/>
        </w:rPr>
        <w:t xml:space="preserve">uma vez </w:t>
      </w:r>
      <w:r>
        <w:rPr>
          <w:rFonts w:cs="Arial"/>
          <w:sz w:val="18"/>
          <w:szCs w:val="18"/>
        </w:rPr>
        <w:t>d</w:t>
      </w:r>
      <w:r w:rsidR="001A033C" w:rsidRPr="001A033C">
        <w:rPr>
          <w:rFonts w:cs="Arial"/>
          <w:sz w:val="18"/>
          <w:szCs w:val="18"/>
        </w:rPr>
        <w:t xml:space="preserve">esconsiderado </w:t>
      </w:r>
      <w:r w:rsidR="009D7F26">
        <w:rPr>
          <w:rFonts w:cs="Arial"/>
          <w:sz w:val="18"/>
          <w:szCs w:val="18"/>
        </w:rPr>
        <w:t xml:space="preserve">o </w:t>
      </w:r>
      <w:r w:rsidR="001A033C" w:rsidRPr="001A033C">
        <w:rPr>
          <w:rFonts w:cs="Arial"/>
          <w:sz w:val="18"/>
          <w:szCs w:val="18"/>
        </w:rPr>
        <w:t>atestado</w:t>
      </w:r>
      <w:r w:rsidR="009D7F26">
        <w:rPr>
          <w:rFonts w:cs="Arial"/>
          <w:sz w:val="18"/>
          <w:szCs w:val="18"/>
        </w:rPr>
        <w:t xml:space="preserve"> agora revelado equivocado</w:t>
      </w:r>
      <w:r w:rsidR="001A033C" w:rsidRPr="001A033C">
        <w:rPr>
          <w:rFonts w:cs="Arial"/>
          <w:sz w:val="18"/>
          <w:szCs w:val="18"/>
        </w:rPr>
        <w:t xml:space="preserve">, a empresa </w:t>
      </w:r>
      <w:r w:rsidR="001A033C" w:rsidRPr="001A033C">
        <w:rPr>
          <w:sz w:val="18"/>
          <w:szCs w:val="18"/>
        </w:rPr>
        <w:t xml:space="preserve">ARMATRANS LOGÍSTICA LTDA deixa de atender aos requisitos </w:t>
      </w:r>
      <w:proofErr w:type="spellStart"/>
      <w:r w:rsidR="001A033C" w:rsidRPr="001A033C">
        <w:rPr>
          <w:sz w:val="18"/>
          <w:szCs w:val="18"/>
        </w:rPr>
        <w:t>habilitatórios</w:t>
      </w:r>
      <w:proofErr w:type="spellEnd"/>
      <w:r w:rsidR="001A033C" w:rsidRPr="001A033C">
        <w:rPr>
          <w:sz w:val="18"/>
          <w:szCs w:val="18"/>
        </w:rPr>
        <w:t xml:space="preserve">, em especial ao item </w:t>
      </w:r>
      <w:r w:rsidR="001A033C">
        <w:rPr>
          <w:sz w:val="18"/>
          <w:szCs w:val="18"/>
        </w:rPr>
        <w:t>5.3.1.4, no que tange</w:t>
      </w:r>
      <w:r w:rsidR="001A033C" w:rsidRPr="001A033C">
        <w:rPr>
          <w:sz w:val="18"/>
          <w:szCs w:val="18"/>
        </w:rPr>
        <w:t xml:space="preserve"> </w:t>
      </w:r>
      <w:r w:rsidR="001A033C">
        <w:rPr>
          <w:sz w:val="18"/>
          <w:szCs w:val="18"/>
        </w:rPr>
        <w:t>ao</w:t>
      </w:r>
      <w:r w:rsidR="001A033C" w:rsidRPr="001A033C">
        <w:rPr>
          <w:sz w:val="18"/>
          <w:szCs w:val="18"/>
        </w:rPr>
        <w:t xml:space="preserve"> software de rastreabilidade de veículos guincho e central de monitoramento por câmeras</w:t>
      </w:r>
      <w:r w:rsidR="001A033C">
        <w:rPr>
          <w:sz w:val="18"/>
          <w:szCs w:val="18"/>
        </w:rPr>
        <w:t>.</w:t>
      </w:r>
    </w:p>
    <w:p w:rsidR="003C4720" w:rsidRDefault="003C4720" w:rsidP="001A033C">
      <w:pPr>
        <w:spacing w:after="0" w:line="360" w:lineRule="auto"/>
        <w:ind w:firstLine="1701"/>
        <w:jc w:val="both"/>
        <w:rPr>
          <w:sz w:val="18"/>
          <w:szCs w:val="18"/>
        </w:rPr>
      </w:pPr>
    </w:p>
    <w:p w:rsidR="001A033C" w:rsidRPr="001A033C" w:rsidRDefault="001A033C" w:rsidP="001A033C">
      <w:pPr>
        <w:spacing w:after="0" w:line="360" w:lineRule="auto"/>
        <w:ind w:firstLine="17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Face ao exposto, fica a licitante </w:t>
      </w:r>
      <w:r w:rsidR="003C4720">
        <w:rPr>
          <w:sz w:val="18"/>
          <w:szCs w:val="18"/>
        </w:rPr>
        <w:t xml:space="preserve">notificada para que </w:t>
      </w:r>
      <w:r w:rsidR="002B02BC">
        <w:rPr>
          <w:sz w:val="18"/>
          <w:szCs w:val="18"/>
        </w:rPr>
        <w:t>apresente</w:t>
      </w:r>
      <w:r w:rsidR="009D7F26">
        <w:rPr>
          <w:sz w:val="18"/>
          <w:szCs w:val="18"/>
        </w:rPr>
        <w:t>, em querendo,</w:t>
      </w:r>
      <w:bookmarkStart w:id="1" w:name="_GoBack"/>
      <w:bookmarkEnd w:id="1"/>
      <w:r w:rsidR="002B02BC">
        <w:rPr>
          <w:sz w:val="18"/>
          <w:szCs w:val="18"/>
        </w:rPr>
        <w:t xml:space="preserve"> manifestação</w:t>
      </w:r>
      <w:r w:rsidR="003C4720">
        <w:rPr>
          <w:sz w:val="18"/>
          <w:szCs w:val="18"/>
        </w:rPr>
        <w:t xml:space="preserve">, no prazo de cinco dias úteis a contar da publicação </w:t>
      </w:r>
      <w:r w:rsidR="00963661">
        <w:rPr>
          <w:sz w:val="18"/>
          <w:szCs w:val="18"/>
        </w:rPr>
        <w:t>do extrato de comunicado</w:t>
      </w:r>
      <w:r w:rsidR="003C4720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3C4720">
        <w:rPr>
          <w:sz w:val="18"/>
          <w:szCs w:val="18"/>
        </w:rPr>
        <w:t>sobre o</w:t>
      </w:r>
      <w:r>
        <w:rPr>
          <w:sz w:val="18"/>
          <w:szCs w:val="18"/>
        </w:rPr>
        <w:t xml:space="preserve"> relatado neste documento, no tocante à sua desclassificação e</w:t>
      </w:r>
      <w:r w:rsidR="00A365BD">
        <w:rPr>
          <w:sz w:val="18"/>
          <w:szCs w:val="18"/>
        </w:rPr>
        <w:t>,</w:t>
      </w:r>
      <w:r>
        <w:rPr>
          <w:sz w:val="18"/>
          <w:szCs w:val="18"/>
        </w:rPr>
        <w:t xml:space="preserve"> ainda, em relação à eventual apenação, </w:t>
      </w:r>
      <w:r w:rsidR="003C4720">
        <w:rPr>
          <w:sz w:val="18"/>
          <w:szCs w:val="18"/>
        </w:rPr>
        <w:t xml:space="preserve">nos termos do item 13 do edital, </w:t>
      </w:r>
      <w:r>
        <w:rPr>
          <w:sz w:val="18"/>
          <w:szCs w:val="18"/>
        </w:rPr>
        <w:t>tendo em vista</w:t>
      </w:r>
      <w:r w:rsidR="003C4720">
        <w:rPr>
          <w:sz w:val="18"/>
          <w:szCs w:val="18"/>
        </w:rPr>
        <w:t xml:space="preserve"> que a mesma, ciente de que </w:t>
      </w:r>
      <w:r w:rsidR="006C1625">
        <w:rPr>
          <w:sz w:val="18"/>
          <w:szCs w:val="18"/>
        </w:rPr>
        <w:t>o conteúdo</w:t>
      </w:r>
      <w:r w:rsidR="009030DE">
        <w:rPr>
          <w:sz w:val="18"/>
          <w:szCs w:val="18"/>
        </w:rPr>
        <w:t xml:space="preserve"> do atestado juntado era</w:t>
      </w:r>
      <w:r w:rsidR="006F1A6C">
        <w:rPr>
          <w:sz w:val="18"/>
          <w:szCs w:val="18"/>
        </w:rPr>
        <w:t xml:space="preserve"> inverídico</w:t>
      </w:r>
      <w:r w:rsidR="006C1625">
        <w:rPr>
          <w:sz w:val="18"/>
          <w:szCs w:val="18"/>
        </w:rPr>
        <w:t xml:space="preserve">, </w:t>
      </w:r>
      <w:r w:rsidR="006F1A6C">
        <w:rPr>
          <w:sz w:val="18"/>
          <w:szCs w:val="18"/>
        </w:rPr>
        <w:t>optou</w:t>
      </w:r>
      <w:r w:rsidR="006C1625">
        <w:rPr>
          <w:sz w:val="18"/>
          <w:szCs w:val="18"/>
        </w:rPr>
        <w:t xml:space="preserve"> por apresentá-lo.</w:t>
      </w:r>
    </w:p>
    <w:p w:rsidR="00997EA4" w:rsidRPr="001A033C" w:rsidRDefault="00997EA4" w:rsidP="005B6C9A">
      <w:pPr>
        <w:spacing w:after="0" w:line="240" w:lineRule="auto"/>
        <w:ind w:firstLine="1701"/>
        <w:jc w:val="both"/>
        <w:rPr>
          <w:sz w:val="18"/>
          <w:szCs w:val="18"/>
        </w:rPr>
      </w:pPr>
    </w:p>
    <w:p w:rsidR="00225384" w:rsidRDefault="00225384" w:rsidP="00225384">
      <w:pPr>
        <w:spacing w:after="0" w:line="240" w:lineRule="auto"/>
        <w:ind w:firstLine="1134"/>
        <w:jc w:val="both"/>
        <w:rPr>
          <w:sz w:val="18"/>
          <w:szCs w:val="18"/>
        </w:rPr>
      </w:pPr>
    </w:p>
    <w:p w:rsidR="003C4720" w:rsidRDefault="003C4720" w:rsidP="00225384">
      <w:pPr>
        <w:spacing w:after="0" w:line="240" w:lineRule="auto"/>
        <w:ind w:firstLine="1134"/>
        <w:jc w:val="both"/>
        <w:rPr>
          <w:sz w:val="18"/>
          <w:szCs w:val="18"/>
        </w:rPr>
      </w:pPr>
    </w:p>
    <w:p w:rsidR="003C4720" w:rsidRPr="001A033C" w:rsidRDefault="003C4720" w:rsidP="00225384">
      <w:pPr>
        <w:spacing w:after="0" w:line="240" w:lineRule="auto"/>
        <w:ind w:firstLine="1134"/>
        <w:jc w:val="both"/>
        <w:rPr>
          <w:sz w:val="18"/>
          <w:szCs w:val="18"/>
        </w:rPr>
      </w:pPr>
    </w:p>
    <w:p w:rsidR="00651370" w:rsidRPr="001A033C" w:rsidRDefault="00651370" w:rsidP="00225384">
      <w:pPr>
        <w:spacing w:after="0" w:line="240" w:lineRule="auto"/>
        <w:jc w:val="both"/>
        <w:rPr>
          <w:b/>
          <w:sz w:val="18"/>
          <w:szCs w:val="18"/>
        </w:rPr>
      </w:pPr>
    </w:p>
    <w:p w:rsidR="00B32E21" w:rsidRPr="001A033C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  <w:r w:rsidRPr="001A033C">
        <w:rPr>
          <w:b/>
          <w:sz w:val="18"/>
          <w:szCs w:val="18"/>
        </w:rPr>
        <w:t>ARIANE SOARES DE SOUZA</w:t>
      </w:r>
    </w:p>
    <w:p w:rsidR="00B32E21" w:rsidRPr="001A033C" w:rsidRDefault="00B32E21" w:rsidP="00B32E21">
      <w:pPr>
        <w:spacing w:after="0" w:line="240" w:lineRule="auto"/>
        <w:jc w:val="center"/>
        <w:rPr>
          <w:sz w:val="18"/>
          <w:szCs w:val="18"/>
        </w:rPr>
      </w:pPr>
      <w:r w:rsidRPr="001A033C">
        <w:rPr>
          <w:sz w:val="18"/>
          <w:szCs w:val="18"/>
        </w:rPr>
        <w:t>Comissão Permanente de Licitações</w:t>
      </w:r>
    </w:p>
    <w:p w:rsidR="00B32E21" w:rsidRPr="001A033C" w:rsidRDefault="00B32E21" w:rsidP="00B32E21">
      <w:pPr>
        <w:spacing w:after="0" w:line="240" w:lineRule="auto"/>
        <w:jc w:val="center"/>
        <w:rPr>
          <w:sz w:val="18"/>
          <w:szCs w:val="18"/>
        </w:rPr>
      </w:pPr>
      <w:r w:rsidRPr="001A033C">
        <w:rPr>
          <w:sz w:val="18"/>
          <w:szCs w:val="18"/>
        </w:rPr>
        <w:t>Presidente</w:t>
      </w:r>
    </w:p>
    <w:p w:rsidR="00B32E21" w:rsidRPr="001A033C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</w:p>
    <w:p w:rsidR="00B32E21" w:rsidRPr="001A033C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</w:p>
    <w:p w:rsidR="00B32E21" w:rsidRPr="001A033C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  <w:r w:rsidRPr="001A033C">
        <w:rPr>
          <w:b/>
          <w:sz w:val="18"/>
          <w:szCs w:val="18"/>
        </w:rPr>
        <w:t>DANIELA DE FATIMA PETRONIO MARIANO</w:t>
      </w:r>
    </w:p>
    <w:p w:rsidR="00B32E21" w:rsidRPr="001A033C" w:rsidRDefault="00B32E21" w:rsidP="00B32E21">
      <w:pPr>
        <w:spacing w:after="0" w:line="240" w:lineRule="auto"/>
        <w:jc w:val="center"/>
        <w:rPr>
          <w:sz w:val="18"/>
          <w:szCs w:val="18"/>
        </w:rPr>
      </w:pPr>
      <w:r w:rsidRPr="001A033C">
        <w:rPr>
          <w:sz w:val="18"/>
          <w:szCs w:val="18"/>
        </w:rPr>
        <w:t>Comissão Permanente de Licitações</w:t>
      </w:r>
    </w:p>
    <w:p w:rsidR="00B32E21" w:rsidRPr="001A033C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</w:p>
    <w:p w:rsidR="00B32E21" w:rsidRPr="001A033C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</w:p>
    <w:p w:rsidR="00B32E21" w:rsidRPr="001A033C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</w:p>
    <w:p w:rsidR="00B32E21" w:rsidRPr="001A033C" w:rsidRDefault="00B32E21" w:rsidP="00B32E21">
      <w:pPr>
        <w:spacing w:after="0" w:line="240" w:lineRule="auto"/>
        <w:jc w:val="center"/>
        <w:rPr>
          <w:b/>
          <w:sz w:val="18"/>
          <w:szCs w:val="18"/>
        </w:rPr>
      </w:pPr>
      <w:r w:rsidRPr="001A033C">
        <w:rPr>
          <w:b/>
          <w:sz w:val="18"/>
          <w:szCs w:val="18"/>
        </w:rPr>
        <w:t>DJALMA GOMES</w:t>
      </w:r>
    </w:p>
    <w:p w:rsidR="00E362CB" w:rsidRPr="001A033C" w:rsidRDefault="00B32E21" w:rsidP="00B32E21">
      <w:pPr>
        <w:spacing w:after="0" w:line="240" w:lineRule="auto"/>
        <w:jc w:val="center"/>
        <w:rPr>
          <w:sz w:val="18"/>
          <w:szCs w:val="18"/>
        </w:rPr>
      </w:pPr>
      <w:r w:rsidRPr="001A033C">
        <w:rPr>
          <w:sz w:val="18"/>
          <w:szCs w:val="18"/>
        </w:rPr>
        <w:t>Comissão Permanente de Licitações</w:t>
      </w:r>
    </w:p>
    <w:sectPr w:rsidR="00E362CB" w:rsidRPr="001A03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65" w:rsidRDefault="00E84A65" w:rsidP="00E84A65">
      <w:pPr>
        <w:spacing w:after="0" w:line="240" w:lineRule="auto"/>
      </w:pPr>
      <w:r>
        <w:separator/>
      </w:r>
    </w:p>
  </w:endnote>
  <w:endnote w:type="continuationSeparator" w:id="0">
    <w:p w:rsidR="00E84A65" w:rsidRDefault="00E84A65" w:rsidP="00E8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65" w:rsidRDefault="00E84A65" w:rsidP="00E84A65">
      <w:pPr>
        <w:spacing w:after="0" w:line="240" w:lineRule="auto"/>
      </w:pPr>
      <w:r>
        <w:separator/>
      </w:r>
    </w:p>
  </w:footnote>
  <w:footnote w:type="continuationSeparator" w:id="0">
    <w:p w:rsidR="00E84A65" w:rsidRDefault="00E84A65" w:rsidP="00E8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65" w:rsidRPr="00E84A65" w:rsidRDefault="00E84A65" w:rsidP="00E84A65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color w:val="FFFFFF"/>
        <w:sz w:val="24"/>
        <w:szCs w:val="20"/>
        <w:lang w:val="pt-PT" w:eastAsia="pt-BR"/>
      </w:rPr>
    </w:pPr>
    <w:r>
      <w:rPr>
        <w:rFonts w:ascii="Times New Roman" w:eastAsia="Times New Roman" w:hAnsi="Times New Roman" w:cs="Times New Roman"/>
        <w:noProof/>
        <w:sz w:val="24"/>
        <w:szCs w:val="20"/>
        <w:lang w:eastAsia="pt-BR"/>
      </w:rPr>
      <w:drawing>
        <wp:inline distT="0" distB="0" distL="0" distR="0" wp14:anchorId="3EDEE893" wp14:editId="088D1FA7">
          <wp:extent cx="762000" cy="771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4A65" w:rsidRPr="00E84A65" w:rsidRDefault="00E84A65" w:rsidP="00E84A65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0"/>
        <w:lang w:val="pt-PT" w:eastAsia="pt-BR"/>
      </w:rPr>
    </w:pPr>
    <w:r w:rsidRPr="00E84A65">
      <w:rPr>
        <w:rFonts w:ascii="Times New Roman" w:eastAsia="Times New Roman" w:hAnsi="Times New Roman" w:cs="Times New Roman"/>
        <w:sz w:val="32"/>
        <w:szCs w:val="20"/>
        <w:lang w:val="pt-PT" w:eastAsia="pt-BR"/>
      </w:rPr>
      <w:t>PREFEITURA DO MUNICÍPIO DE ARARAQUARA</w: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5"/>
      <w:gridCol w:w="1055"/>
      <w:gridCol w:w="1055"/>
      <w:gridCol w:w="1055"/>
      <w:gridCol w:w="1055"/>
      <w:gridCol w:w="1055"/>
      <w:gridCol w:w="1055"/>
      <w:gridCol w:w="1055"/>
      <w:gridCol w:w="1055"/>
    </w:tblGrid>
    <w:tr w:rsidR="00E84A65" w:rsidRPr="00E84A65" w:rsidTr="00494D15"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  <w:tcBorders>
            <w:top w:val="single" w:sz="6" w:space="0" w:color="auto"/>
          </w:tcBorders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  <w:tcBorders>
            <w:top w:val="single" w:sz="18" w:space="0" w:color="auto"/>
          </w:tcBorders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  <w:tcBorders>
            <w:top w:val="single" w:sz="6" w:space="0" w:color="auto"/>
          </w:tcBorders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  <w:tc>
        <w:tcPr>
          <w:tcW w:w="1055" w:type="dxa"/>
        </w:tcPr>
        <w:p w:rsidR="00E84A65" w:rsidRPr="00E84A65" w:rsidRDefault="00E84A65" w:rsidP="00E84A65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20"/>
              <w:lang w:val="pt-PT" w:eastAsia="pt-BR"/>
            </w:rPr>
          </w:pPr>
        </w:p>
      </w:tc>
    </w:tr>
  </w:tbl>
  <w:p w:rsidR="00E84A65" w:rsidRDefault="00E84A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1"/>
    <w:rsid w:val="00053A91"/>
    <w:rsid w:val="001702F6"/>
    <w:rsid w:val="001A033C"/>
    <w:rsid w:val="001C6384"/>
    <w:rsid w:val="0020689A"/>
    <w:rsid w:val="00225384"/>
    <w:rsid w:val="002372D0"/>
    <w:rsid w:val="0023730A"/>
    <w:rsid w:val="00264338"/>
    <w:rsid w:val="002A599E"/>
    <w:rsid w:val="002B02BC"/>
    <w:rsid w:val="002C1C95"/>
    <w:rsid w:val="003549F4"/>
    <w:rsid w:val="00374E20"/>
    <w:rsid w:val="00387BCD"/>
    <w:rsid w:val="00392970"/>
    <w:rsid w:val="003C4720"/>
    <w:rsid w:val="003C5761"/>
    <w:rsid w:val="003E6215"/>
    <w:rsid w:val="003F6349"/>
    <w:rsid w:val="00402BB0"/>
    <w:rsid w:val="00406B29"/>
    <w:rsid w:val="004364F6"/>
    <w:rsid w:val="0044210A"/>
    <w:rsid w:val="00461844"/>
    <w:rsid w:val="00462C4C"/>
    <w:rsid w:val="0049189E"/>
    <w:rsid w:val="004A6BE8"/>
    <w:rsid w:val="00507C5D"/>
    <w:rsid w:val="00520CE1"/>
    <w:rsid w:val="005730BD"/>
    <w:rsid w:val="005A3FB3"/>
    <w:rsid w:val="005B6C9A"/>
    <w:rsid w:val="005C4AA9"/>
    <w:rsid w:val="005E215D"/>
    <w:rsid w:val="005E6EC9"/>
    <w:rsid w:val="005F5EBA"/>
    <w:rsid w:val="00611850"/>
    <w:rsid w:val="00633BED"/>
    <w:rsid w:val="00640578"/>
    <w:rsid w:val="00644173"/>
    <w:rsid w:val="00651370"/>
    <w:rsid w:val="00662705"/>
    <w:rsid w:val="006B7BB2"/>
    <w:rsid w:val="006C1625"/>
    <w:rsid w:val="006D3C21"/>
    <w:rsid w:val="006F1A6C"/>
    <w:rsid w:val="00702368"/>
    <w:rsid w:val="0071348C"/>
    <w:rsid w:val="00751934"/>
    <w:rsid w:val="007703F0"/>
    <w:rsid w:val="0077709F"/>
    <w:rsid w:val="007D6CD8"/>
    <w:rsid w:val="007F5E45"/>
    <w:rsid w:val="007F6F31"/>
    <w:rsid w:val="0082262F"/>
    <w:rsid w:val="008320C6"/>
    <w:rsid w:val="00893C66"/>
    <w:rsid w:val="0089434B"/>
    <w:rsid w:val="008E419B"/>
    <w:rsid w:val="009030DE"/>
    <w:rsid w:val="00910E5B"/>
    <w:rsid w:val="00950C7B"/>
    <w:rsid w:val="00963661"/>
    <w:rsid w:val="00966EE9"/>
    <w:rsid w:val="009675D5"/>
    <w:rsid w:val="00997EA4"/>
    <w:rsid w:val="009C3CB6"/>
    <w:rsid w:val="009D0D7E"/>
    <w:rsid w:val="009D7F26"/>
    <w:rsid w:val="009E2A48"/>
    <w:rsid w:val="00A111BA"/>
    <w:rsid w:val="00A25451"/>
    <w:rsid w:val="00A365BD"/>
    <w:rsid w:val="00A4432C"/>
    <w:rsid w:val="00A82485"/>
    <w:rsid w:val="00AA299D"/>
    <w:rsid w:val="00B14A07"/>
    <w:rsid w:val="00B32E21"/>
    <w:rsid w:val="00BF3DC2"/>
    <w:rsid w:val="00C603A4"/>
    <w:rsid w:val="00C621D6"/>
    <w:rsid w:val="00C913B2"/>
    <w:rsid w:val="00D520F9"/>
    <w:rsid w:val="00D831F3"/>
    <w:rsid w:val="00DA19A3"/>
    <w:rsid w:val="00DC69EE"/>
    <w:rsid w:val="00E0234F"/>
    <w:rsid w:val="00E10B09"/>
    <w:rsid w:val="00E362CB"/>
    <w:rsid w:val="00E84A65"/>
    <w:rsid w:val="00E9501B"/>
    <w:rsid w:val="00EE1A0D"/>
    <w:rsid w:val="00EE52E7"/>
    <w:rsid w:val="00EF118F"/>
    <w:rsid w:val="00F0434F"/>
    <w:rsid w:val="00F6785C"/>
    <w:rsid w:val="00FA313A"/>
    <w:rsid w:val="00FA33FB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F31"/>
    <w:pPr>
      <w:spacing w:after="245" w:line="252" w:lineRule="auto"/>
      <w:ind w:left="720" w:right="35" w:hanging="8"/>
      <w:contextualSpacing/>
      <w:jc w:val="both"/>
    </w:pPr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4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A65"/>
  </w:style>
  <w:style w:type="paragraph" w:styleId="Rodap">
    <w:name w:val="footer"/>
    <w:basedOn w:val="Normal"/>
    <w:link w:val="RodapChar"/>
    <w:uiPriority w:val="99"/>
    <w:unhideWhenUsed/>
    <w:rsid w:val="00E84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A65"/>
  </w:style>
  <w:style w:type="paragraph" w:styleId="Textodebalo">
    <w:name w:val="Balloon Text"/>
    <w:basedOn w:val="Normal"/>
    <w:link w:val="TextodebaloChar"/>
    <w:uiPriority w:val="99"/>
    <w:semiHidden/>
    <w:unhideWhenUsed/>
    <w:rsid w:val="00E8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F31"/>
    <w:pPr>
      <w:spacing w:after="245" w:line="252" w:lineRule="auto"/>
      <w:ind w:left="720" w:right="35" w:hanging="8"/>
      <w:contextualSpacing/>
      <w:jc w:val="both"/>
    </w:pPr>
    <w:rPr>
      <w:rFonts w:ascii="Arial" w:eastAsia="Arial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84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A65"/>
  </w:style>
  <w:style w:type="paragraph" w:styleId="Rodap">
    <w:name w:val="footer"/>
    <w:basedOn w:val="Normal"/>
    <w:link w:val="RodapChar"/>
    <w:uiPriority w:val="99"/>
    <w:unhideWhenUsed/>
    <w:rsid w:val="00E84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A65"/>
  </w:style>
  <w:style w:type="paragraph" w:styleId="Textodebalo">
    <w:name w:val="Balloon Text"/>
    <w:basedOn w:val="Normal"/>
    <w:link w:val="TextodebaloChar"/>
    <w:uiPriority w:val="99"/>
    <w:semiHidden/>
    <w:unhideWhenUsed/>
    <w:rsid w:val="00E8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Luiz Gustavo Camarani Toledo</cp:lastModifiedBy>
  <cp:revision>26</cp:revision>
  <cp:lastPrinted>2019-09-06T17:06:00Z</cp:lastPrinted>
  <dcterms:created xsi:type="dcterms:W3CDTF">2019-10-22T13:39:00Z</dcterms:created>
  <dcterms:modified xsi:type="dcterms:W3CDTF">2019-10-22T19:10:00Z</dcterms:modified>
</cp:coreProperties>
</file>