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6C" w:rsidRPr="00D40E75" w:rsidRDefault="003A030F" w:rsidP="006C1392">
      <w:pPr>
        <w:shd w:val="clear" w:color="auto" w:fill="BFBFBF" w:themeFill="background1" w:themeFillShade="BF"/>
        <w:spacing w:after="120"/>
        <w:jc w:val="center"/>
        <w:rPr>
          <w:rFonts w:ascii="Verdana" w:hAnsi="Verdana"/>
          <w:b/>
          <w:i/>
          <w:sz w:val="36"/>
          <w:szCs w:val="36"/>
        </w:rPr>
      </w:pPr>
      <w:r w:rsidRPr="00D40E75">
        <w:rPr>
          <w:rFonts w:ascii="Verdana" w:hAnsi="Verdana"/>
          <w:b/>
          <w:i/>
          <w:sz w:val="36"/>
          <w:szCs w:val="36"/>
        </w:rPr>
        <w:t>DECISÃO RECURSOS</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 xml:space="preserve">“EDITAL DE TOMADA DE PREÇOS N° 036/2020”  </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 xml:space="preserve"> “DE: 29 de Outubro de </w:t>
      </w:r>
      <w:r w:rsidRPr="00563347">
        <w:rPr>
          <w:rFonts w:cstheme="minorHAnsi"/>
          <w:b/>
          <w:noProof/>
          <w:sz w:val="22"/>
          <w:szCs w:val="22"/>
        </w:rPr>
        <w:t>2.020</w:t>
      </w:r>
      <w:r w:rsidRPr="00563347">
        <w:rPr>
          <w:rFonts w:cstheme="minorHAnsi"/>
          <w:b/>
          <w:sz w:val="22"/>
          <w:szCs w:val="22"/>
        </w:rPr>
        <w:t>”</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TIPO: MENOR PREÇO GLOBAL</w:t>
      </w:r>
    </w:p>
    <w:p w:rsidR="008442EE" w:rsidRPr="00FE2631" w:rsidRDefault="008442EE" w:rsidP="000A4E2D">
      <w:pPr>
        <w:spacing w:after="120"/>
        <w:jc w:val="right"/>
        <w:rPr>
          <w:rFonts w:eastAsia="Times New Roman" w:cstheme="minorHAnsi"/>
          <w:sz w:val="18"/>
          <w:szCs w:val="18"/>
          <w:lang w:eastAsia="pt-BR"/>
        </w:rPr>
      </w:pPr>
    </w:p>
    <w:p w:rsidR="00C96153" w:rsidRPr="008442EE" w:rsidRDefault="00C96153" w:rsidP="000A4E2D">
      <w:pPr>
        <w:spacing w:after="120"/>
        <w:jc w:val="right"/>
        <w:rPr>
          <w:rFonts w:ascii="Verdana" w:eastAsia="Times New Roman" w:hAnsi="Verdana" w:cstheme="minorHAnsi"/>
          <w:sz w:val="18"/>
          <w:szCs w:val="18"/>
          <w:lang w:eastAsia="pt-BR"/>
        </w:rPr>
      </w:pPr>
      <w:r w:rsidRPr="008442EE">
        <w:rPr>
          <w:rFonts w:ascii="Verdana" w:eastAsia="Times New Roman" w:hAnsi="Verdana" w:cstheme="minorHAnsi"/>
          <w:sz w:val="18"/>
          <w:szCs w:val="18"/>
          <w:lang w:eastAsia="pt-BR"/>
        </w:rPr>
        <w:t xml:space="preserve">Araraquara, </w:t>
      </w:r>
      <w:r w:rsidR="00B6199B">
        <w:rPr>
          <w:rFonts w:ascii="Verdana" w:eastAsia="Times New Roman" w:hAnsi="Verdana" w:cstheme="minorHAnsi"/>
          <w:sz w:val="18"/>
          <w:szCs w:val="18"/>
          <w:lang w:eastAsia="pt-BR"/>
        </w:rPr>
        <w:t>2</w:t>
      </w:r>
      <w:r w:rsidR="00AF1843">
        <w:rPr>
          <w:rFonts w:ascii="Verdana" w:eastAsia="Times New Roman" w:hAnsi="Verdana" w:cstheme="minorHAnsi"/>
          <w:sz w:val="18"/>
          <w:szCs w:val="18"/>
          <w:lang w:eastAsia="pt-BR"/>
        </w:rPr>
        <w:t>2</w:t>
      </w:r>
      <w:bookmarkStart w:id="0" w:name="_GoBack"/>
      <w:bookmarkEnd w:id="0"/>
      <w:r w:rsidR="001F2E9E" w:rsidRPr="008442EE">
        <w:rPr>
          <w:rFonts w:ascii="Verdana" w:eastAsia="Times New Roman" w:hAnsi="Verdana" w:cstheme="minorHAnsi"/>
          <w:sz w:val="18"/>
          <w:szCs w:val="18"/>
          <w:lang w:eastAsia="pt-BR"/>
        </w:rPr>
        <w:t xml:space="preserve"> </w:t>
      </w:r>
      <w:r w:rsidRPr="008442EE">
        <w:rPr>
          <w:rFonts w:ascii="Verdana" w:eastAsia="Times New Roman" w:hAnsi="Verdana" w:cstheme="minorHAnsi"/>
          <w:sz w:val="18"/>
          <w:szCs w:val="18"/>
          <w:lang w:eastAsia="pt-BR"/>
        </w:rPr>
        <w:t xml:space="preserve">de </w:t>
      </w:r>
      <w:r w:rsidR="008442EE" w:rsidRPr="008442EE">
        <w:rPr>
          <w:rFonts w:ascii="Verdana" w:eastAsia="Times New Roman" w:hAnsi="Verdana" w:cstheme="minorHAnsi"/>
          <w:sz w:val="18"/>
          <w:szCs w:val="18"/>
          <w:lang w:eastAsia="pt-BR"/>
        </w:rPr>
        <w:t>DEZEMBRO</w:t>
      </w:r>
      <w:r w:rsidRPr="008442EE">
        <w:rPr>
          <w:rFonts w:ascii="Verdana" w:eastAsia="Times New Roman" w:hAnsi="Verdana" w:cstheme="minorHAnsi"/>
          <w:sz w:val="18"/>
          <w:szCs w:val="18"/>
          <w:lang w:eastAsia="pt-BR"/>
        </w:rPr>
        <w:t xml:space="preserve"> de 20</w:t>
      </w:r>
      <w:r w:rsidR="003F3A87" w:rsidRPr="008442EE">
        <w:rPr>
          <w:rFonts w:ascii="Verdana" w:eastAsia="Times New Roman" w:hAnsi="Verdana" w:cstheme="minorHAnsi"/>
          <w:sz w:val="18"/>
          <w:szCs w:val="18"/>
          <w:lang w:eastAsia="pt-BR"/>
        </w:rPr>
        <w:t>20</w:t>
      </w:r>
      <w:r w:rsidRPr="008442EE">
        <w:rPr>
          <w:rFonts w:ascii="Verdana" w:eastAsia="Times New Roman" w:hAnsi="Verdana" w:cstheme="minorHAnsi"/>
          <w:sz w:val="18"/>
          <w:szCs w:val="18"/>
          <w:lang w:eastAsia="pt-BR"/>
        </w:rPr>
        <w:t>.</w:t>
      </w:r>
    </w:p>
    <w:p w:rsidR="008442EE" w:rsidRDefault="008442EE" w:rsidP="000A4E2D">
      <w:pPr>
        <w:spacing w:after="120"/>
        <w:jc w:val="both"/>
        <w:rPr>
          <w:rFonts w:eastAsia="Times New Roman" w:cstheme="minorHAnsi"/>
          <w:sz w:val="18"/>
          <w:szCs w:val="18"/>
          <w:lang w:eastAsia="pt-BR"/>
        </w:rPr>
      </w:pPr>
    </w:p>
    <w:p w:rsidR="008442EE" w:rsidRPr="00FE2631" w:rsidRDefault="008442EE" w:rsidP="000A4E2D">
      <w:pPr>
        <w:spacing w:after="120"/>
        <w:jc w:val="both"/>
        <w:rPr>
          <w:rFonts w:eastAsia="Times New Roman" w:cstheme="minorHAnsi"/>
          <w:sz w:val="18"/>
          <w:szCs w:val="18"/>
          <w:lang w:eastAsia="pt-BR"/>
        </w:rPr>
      </w:pPr>
    </w:p>
    <w:p w:rsidR="000A4E2D" w:rsidRDefault="002C4A19" w:rsidP="008442EE">
      <w:pPr>
        <w:ind w:firstLine="2268"/>
        <w:jc w:val="both"/>
        <w:rPr>
          <w:rFonts w:ascii="Verdana" w:hAnsi="Verdana" w:cstheme="minorHAnsi"/>
          <w:sz w:val="18"/>
          <w:szCs w:val="18"/>
        </w:rPr>
      </w:pPr>
      <w:r w:rsidRPr="008442EE">
        <w:rPr>
          <w:rFonts w:ascii="Verdana" w:eastAsia="Times New Roman" w:hAnsi="Verdana" w:cstheme="minorHAnsi"/>
          <w:sz w:val="18"/>
          <w:szCs w:val="18"/>
          <w:lang w:eastAsia="pt-BR"/>
        </w:rPr>
        <w:t>Vimos, através deste</w:t>
      </w:r>
      <w:r w:rsidR="00C656AE" w:rsidRPr="008442EE">
        <w:rPr>
          <w:rFonts w:ascii="Verdana" w:eastAsia="Times New Roman" w:hAnsi="Verdana" w:cstheme="minorHAnsi"/>
          <w:sz w:val="18"/>
          <w:szCs w:val="18"/>
          <w:lang w:eastAsia="pt-BR"/>
        </w:rPr>
        <w:t xml:space="preserve">, em relação </w:t>
      </w:r>
      <w:r w:rsidR="00025817" w:rsidRPr="008442EE">
        <w:rPr>
          <w:rFonts w:ascii="Verdana" w:eastAsia="Times New Roman" w:hAnsi="Verdana" w:cstheme="minorHAnsi"/>
          <w:sz w:val="18"/>
          <w:szCs w:val="18"/>
          <w:lang w:eastAsia="pt-BR"/>
        </w:rPr>
        <w:t>à</w:t>
      </w:r>
      <w:r w:rsidR="00D73432" w:rsidRPr="008442EE">
        <w:rPr>
          <w:rFonts w:ascii="Verdana" w:eastAsia="Times New Roman" w:hAnsi="Verdana" w:cstheme="minorHAnsi"/>
          <w:sz w:val="18"/>
          <w:szCs w:val="18"/>
          <w:lang w:eastAsia="pt-BR"/>
        </w:rPr>
        <w:t xml:space="preserve"> </w:t>
      </w:r>
      <w:r w:rsidR="00025817" w:rsidRPr="008442EE">
        <w:rPr>
          <w:rFonts w:ascii="Verdana" w:eastAsia="Times New Roman" w:hAnsi="Verdana" w:cstheme="minorHAnsi"/>
          <w:sz w:val="18"/>
          <w:szCs w:val="18"/>
          <w:lang w:eastAsia="pt-BR"/>
        </w:rPr>
        <w:t>TOMADA DE PREÇOS</w:t>
      </w:r>
      <w:r w:rsidR="00D73432" w:rsidRPr="008442EE">
        <w:rPr>
          <w:rFonts w:ascii="Verdana" w:eastAsia="Times New Roman" w:hAnsi="Verdana" w:cstheme="minorHAnsi"/>
          <w:sz w:val="18"/>
          <w:szCs w:val="18"/>
          <w:lang w:eastAsia="pt-BR"/>
        </w:rPr>
        <w:t xml:space="preserve"> nº </w:t>
      </w:r>
      <w:r w:rsidR="008F7F74" w:rsidRPr="008442EE">
        <w:rPr>
          <w:rFonts w:ascii="Verdana" w:eastAsia="Times New Roman" w:hAnsi="Verdana" w:cstheme="minorHAnsi"/>
          <w:sz w:val="18"/>
          <w:szCs w:val="18"/>
          <w:lang w:eastAsia="pt-BR"/>
        </w:rPr>
        <w:t>0</w:t>
      </w:r>
      <w:r w:rsidR="001F2E9E" w:rsidRPr="008442EE">
        <w:rPr>
          <w:rFonts w:ascii="Verdana" w:eastAsia="Times New Roman" w:hAnsi="Verdana" w:cstheme="minorHAnsi"/>
          <w:sz w:val="18"/>
          <w:szCs w:val="18"/>
          <w:lang w:eastAsia="pt-BR"/>
        </w:rPr>
        <w:t>3</w:t>
      </w:r>
      <w:r w:rsidR="00707090" w:rsidRPr="008442EE">
        <w:rPr>
          <w:rFonts w:ascii="Verdana" w:eastAsia="Times New Roman" w:hAnsi="Verdana" w:cstheme="minorHAnsi"/>
          <w:sz w:val="18"/>
          <w:szCs w:val="18"/>
          <w:lang w:eastAsia="pt-BR"/>
        </w:rPr>
        <w:t>6</w:t>
      </w:r>
      <w:r w:rsidR="00D73432" w:rsidRPr="008442EE">
        <w:rPr>
          <w:rFonts w:ascii="Verdana" w:eastAsia="Times New Roman" w:hAnsi="Verdana" w:cstheme="minorHAnsi"/>
          <w:sz w:val="18"/>
          <w:szCs w:val="18"/>
          <w:lang w:eastAsia="pt-BR"/>
        </w:rPr>
        <w:t>/2020</w:t>
      </w:r>
      <w:r w:rsidR="00C656AE" w:rsidRPr="008442EE">
        <w:rPr>
          <w:rFonts w:ascii="Verdana" w:eastAsia="Times New Roman" w:hAnsi="Verdana" w:cstheme="minorHAnsi"/>
          <w:sz w:val="18"/>
          <w:szCs w:val="18"/>
          <w:lang w:eastAsia="pt-BR"/>
        </w:rPr>
        <w:t xml:space="preserve">, cujo objeto é </w:t>
      </w:r>
      <w:r w:rsidR="00025817" w:rsidRPr="008442EE">
        <w:rPr>
          <w:rFonts w:ascii="Verdana" w:hAnsi="Verdana" w:cstheme="minorHAnsi"/>
          <w:b/>
          <w:sz w:val="18"/>
          <w:szCs w:val="18"/>
        </w:rPr>
        <w:t>“</w:t>
      </w:r>
      <w:r w:rsidR="00707090" w:rsidRPr="008442EE">
        <w:rPr>
          <w:rFonts w:ascii="Verdana" w:hAnsi="Verdana" w:cstheme="minorHAnsi"/>
          <w:b/>
          <w:sz w:val="18"/>
          <w:szCs w:val="18"/>
        </w:rPr>
        <w:t>CONTRATAÇÃO DE EMPRESA ESPECIALIZADA PARA CONSTRUÇÃO DE PRÉDIO PARA ABRIGAR O 3º SUBGRUPAMENTO DO CORPO DE BOMBEIROS, LOCALIZADO NA RUA DOMINGOS ZANIN, CONFORME MEMORIAL DESCRITIVO E DEMAIS ANEXOS DESTE EDITAL</w:t>
      </w:r>
      <w:r w:rsidR="00025817" w:rsidRPr="008442EE">
        <w:rPr>
          <w:rFonts w:ascii="Verdana" w:hAnsi="Verdana" w:cstheme="minorHAnsi"/>
          <w:b/>
          <w:sz w:val="18"/>
          <w:szCs w:val="18"/>
        </w:rPr>
        <w:t>”</w:t>
      </w:r>
      <w:r w:rsidR="00707090" w:rsidRPr="008442EE">
        <w:rPr>
          <w:rFonts w:ascii="Verdana" w:hAnsi="Verdana" w:cstheme="minorHAnsi"/>
          <w:sz w:val="18"/>
          <w:szCs w:val="18"/>
        </w:rPr>
        <w:t xml:space="preserve">, </w:t>
      </w:r>
      <w:r w:rsidR="003A030F">
        <w:rPr>
          <w:rFonts w:ascii="Verdana" w:hAnsi="Verdana" w:cstheme="minorHAnsi"/>
          <w:sz w:val="18"/>
          <w:szCs w:val="18"/>
        </w:rPr>
        <w:t>expor o que segue:</w:t>
      </w:r>
    </w:p>
    <w:p w:rsidR="003A030F" w:rsidRDefault="003A030F" w:rsidP="008442EE">
      <w:pPr>
        <w:ind w:firstLine="2268"/>
        <w:jc w:val="both"/>
        <w:rPr>
          <w:rFonts w:ascii="Verdana" w:hAnsi="Verdana" w:cstheme="minorHAnsi"/>
          <w:sz w:val="18"/>
          <w:szCs w:val="18"/>
        </w:rPr>
      </w:pPr>
      <w:r>
        <w:rPr>
          <w:rFonts w:ascii="Verdana" w:hAnsi="Verdana" w:cstheme="minorHAnsi"/>
          <w:sz w:val="18"/>
          <w:szCs w:val="18"/>
        </w:rPr>
        <w:t xml:space="preserve">A empresa </w:t>
      </w:r>
      <w:r w:rsidRPr="003A030F">
        <w:rPr>
          <w:rFonts w:ascii="Verdana" w:hAnsi="Verdana" w:cstheme="minorHAnsi"/>
          <w:sz w:val="18"/>
          <w:szCs w:val="18"/>
        </w:rPr>
        <w:t>PEMCEL, PROJETOS DE ENGENHARIA, CONSTRUÇÃO CIVIL, ENGENHARIA E LOCAÇÃO LTDA – EPP</w:t>
      </w:r>
      <w:r>
        <w:rPr>
          <w:rFonts w:ascii="Verdana" w:hAnsi="Verdana" w:cstheme="minorHAnsi"/>
          <w:sz w:val="18"/>
          <w:szCs w:val="18"/>
        </w:rPr>
        <w:t xml:space="preserve"> impetrou recurso administrativo contra decisão da Comissão Permanente de Licitações que a desclassificou, alegando, em síntese que </w:t>
      </w:r>
      <w:r w:rsidR="00D40E75">
        <w:rPr>
          <w:rFonts w:ascii="Verdana" w:hAnsi="Verdana" w:cstheme="minorHAnsi"/>
          <w:sz w:val="18"/>
          <w:szCs w:val="18"/>
        </w:rPr>
        <w:t>apresentou sua proposta e sua composição de BDI, em adequação ao edital e que eventual equívoco na soma total dos valores pode ser considerado um erro formal. Requer, ainda a desclassificação da proposta da empresa TECNOCON ENGENHARIA E CONSTRUÇÃO LTDA, alegando que em sua proposta deixou de constar a coluna com os códigos dos serviços, bem como a fórmula do BDI deixou de constar a garantia contratual de 5% prevista na clausula 17.01 do edital.</w:t>
      </w:r>
    </w:p>
    <w:p w:rsidR="00035F1A" w:rsidRDefault="003D72AF" w:rsidP="008442EE">
      <w:pPr>
        <w:ind w:firstLine="2268"/>
        <w:jc w:val="both"/>
        <w:rPr>
          <w:rFonts w:ascii="Verdana" w:hAnsi="Verdana" w:cstheme="minorHAnsi"/>
          <w:sz w:val="18"/>
          <w:szCs w:val="18"/>
        </w:rPr>
      </w:pPr>
      <w:r w:rsidRPr="003D72AF">
        <w:rPr>
          <w:rFonts w:ascii="Verdana" w:hAnsi="Verdana" w:cstheme="minorHAnsi"/>
          <w:sz w:val="18"/>
          <w:szCs w:val="18"/>
        </w:rPr>
        <w:t>A empresa TECNOCON ENGENHARIA E CONSTRUÇÕES LTDA, única classificada impetrou suas contrarrazões alegando, em síntese, que apresentou sua proposta de acordo com o modelo fornecido pela Administração, onde não constam os códigos dos serviços, ao contrário da empresa PEMCEL, PROJETOS DE ENGENHARIA, CONSTRUÇÃO CIVIL, ENGENHARIA E LOCAÇÃO LTDA – EPP, bem como seu BDI é o mesmo considerado pela Prefeitura, ou seja, igual a 27% e pode-se verificar que existe na previsão de custo, na composição analítica do mesmo, no item 4 (seguro e garantia), pois a garantia de 5% sobre a proposta pode ser feita em fiança bancária, que em geral custa 0,4% do valor da mesma.</w:t>
      </w:r>
    </w:p>
    <w:p w:rsidR="008442EE" w:rsidRDefault="009F64A4" w:rsidP="008442EE">
      <w:pPr>
        <w:ind w:firstLine="2268"/>
        <w:jc w:val="both"/>
        <w:rPr>
          <w:rFonts w:ascii="Verdana" w:hAnsi="Verdana" w:cs="Arial"/>
          <w:sz w:val="18"/>
          <w:szCs w:val="18"/>
        </w:rPr>
      </w:pPr>
      <w:r w:rsidRPr="009F64A4">
        <w:rPr>
          <w:rFonts w:ascii="Verdana" w:hAnsi="Verdana" w:cstheme="minorHAnsi"/>
          <w:sz w:val="18"/>
          <w:szCs w:val="18"/>
        </w:rPr>
        <w:t xml:space="preserve">De fato, ao encaminhar as propostas das licitantes para a Secretaria de Obras e Serviços Públicos, </w:t>
      </w:r>
      <w:r w:rsidR="00035F1A">
        <w:rPr>
          <w:rFonts w:ascii="Verdana" w:hAnsi="Verdana" w:cstheme="minorHAnsi"/>
          <w:sz w:val="18"/>
          <w:szCs w:val="18"/>
        </w:rPr>
        <w:t>a</w:t>
      </w:r>
      <w:r w:rsidRPr="009F64A4">
        <w:rPr>
          <w:rFonts w:ascii="Verdana" w:hAnsi="Verdana" w:cstheme="minorHAnsi"/>
          <w:sz w:val="18"/>
          <w:szCs w:val="18"/>
        </w:rPr>
        <w:t xml:space="preserve"> Comissão foi informada </w:t>
      </w:r>
      <w:r w:rsidR="00930955">
        <w:rPr>
          <w:rFonts w:ascii="Verdana" w:hAnsi="Verdana" w:cstheme="minorHAnsi"/>
          <w:sz w:val="18"/>
          <w:szCs w:val="18"/>
        </w:rPr>
        <w:t xml:space="preserve">de </w:t>
      </w:r>
      <w:r w:rsidRPr="009F64A4">
        <w:rPr>
          <w:rFonts w:ascii="Verdana" w:hAnsi="Verdana" w:cstheme="minorHAnsi"/>
          <w:sz w:val="18"/>
          <w:szCs w:val="18"/>
        </w:rPr>
        <w:t xml:space="preserve">que </w:t>
      </w:r>
      <w:r w:rsidR="00930955">
        <w:rPr>
          <w:rFonts w:ascii="Verdana" w:hAnsi="Verdana" w:cstheme="minorHAnsi"/>
          <w:sz w:val="18"/>
          <w:szCs w:val="18"/>
        </w:rPr>
        <w:t>três licitantes</w:t>
      </w:r>
      <w:r w:rsidRPr="009F64A4">
        <w:rPr>
          <w:rFonts w:ascii="Verdana" w:hAnsi="Verdana" w:cstheme="minorHAnsi"/>
          <w:sz w:val="18"/>
          <w:szCs w:val="18"/>
        </w:rPr>
        <w:t xml:space="preserve"> apresentaram suas propostas </w:t>
      </w:r>
      <w:r w:rsidRPr="009F64A4">
        <w:rPr>
          <w:rFonts w:ascii="Verdana" w:hAnsi="Verdana" w:cs="Arial"/>
          <w:sz w:val="18"/>
          <w:szCs w:val="18"/>
        </w:rPr>
        <w:t xml:space="preserve">com preços unitários e total por item </w:t>
      </w:r>
      <w:r w:rsidRPr="00930955">
        <w:rPr>
          <w:rFonts w:ascii="Verdana" w:hAnsi="Verdana" w:cs="Arial"/>
          <w:sz w:val="18"/>
          <w:szCs w:val="18"/>
        </w:rPr>
        <w:t>com mais de 2 (duas) casas decimais</w:t>
      </w:r>
      <w:r w:rsidRPr="009F64A4">
        <w:rPr>
          <w:rFonts w:ascii="Verdana" w:hAnsi="Verdana" w:cs="Arial"/>
          <w:sz w:val="18"/>
          <w:szCs w:val="18"/>
        </w:rPr>
        <w:t xml:space="preserve">, </w:t>
      </w:r>
      <w:r>
        <w:rPr>
          <w:rFonts w:ascii="Verdana" w:hAnsi="Verdana" w:cs="Arial"/>
          <w:sz w:val="18"/>
          <w:szCs w:val="18"/>
        </w:rPr>
        <w:t xml:space="preserve">em desconformidade com o edital. Desta manifestação constou também que a empresa </w:t>
      </w:r>
      <w:r w:rsidRPr="009F64A4">
        <w:rPr>
          <w:rFonts w:ascii="Verdana" w:hAnsi="Verdana" w:cs="Arial"/>
          <w:sz w:val="18"/>
          <w:szCs w:val="18"/>
        </w:rPr>
        <w:t>PEMCEL, PROJETOS DE ENGENHARIA, CONSTRUÇÃO CIVIL, ENGENHARIA E LOCAÇÃO LTDA – EPP</w:t>
      </w:r>
      <w:r>
        <w:rPr>
          <w:rFonts w:ascii="Verdana" w:hAnsi="Verdana" w:cs="Arial"/>
          <w:sz w:val="18"/>
          <w:szCs w:val="18"/>
        </w:rPr>
        <w:t xml:space="preserve">, em relação ao BDI, </w:t>
      </w:r>
      <w:r w:rsidRPr="009F64A4">
        <w:rPr>
          <w:rFonts w:ascii="Verdana" w:hAnsi="Verdana" w:cs="Arial"/>
          <w:sz w:val="18"/>
          <w:szCs w:val="18"/>
        </w:rPr>
        <w:t>não atende</w:t>
      </w:r>
      <w:r>
        <w:rPr>
          <w:rFonts w:ascii="Verdana" w:hAnsi="Verdana" w:cs="Arial"/>
          <w:sz w:val="18"/>
          <w:szCs w:val="18"/>
        </w:rPr>
        <w:t>u</w:t>
      </w:r>
      <w:r w:rsidRPr="009F64A4">
        <w:rPr>
          <w:rFonts w:ascii="Verdana" w:hAnsi="Verdana" w:cs="Arial"/>
          <w:sz w:val="18"/>
          <w:szCs w:val="18"/>
        </w:rPr>
        <w:t xml:space="preserve"> ao item 09.07.03 do edital: “</w:t>
      </w:r>
      <w:r w:rsidRPr="009F64A4">
        <w:rPr>
          <w:rFonts w:ascii="Verdana" w:hAnsi="Verdana" w:cs="Arial"/>
          <w:i/>
          <w:sz w:val="18"/>
          <w:szCs w:val="18"/>
        </w:rPr>
        <w:t>Apresentar junto com a proposta Composição analítica do BDI, com o seu devido detalhamento</w:t>
      </w:r>
      <w:r w:rsidRPr="009F64A4">
        <w:rPr>
          <w:rFonts w:ascii="Verdana" w:hAnsi="Verdana" w:cs="Arial"/>
          <w:sz w:val="18"/>
          <w:szCs w:val="18"/>
        </w:rPr>
        <w:t>”, pois não apresenta a fórmula de cálculo do resultado</w:t>
      </w:r>
      <w:r w:rsidR="00360D49">
        <w:rPr>
          <w:rFonts w:ascii="Verdana" w:hAnsi="Verdana" w:cs="Arial"/>
          <w:sz w:val="18"/>
          <w:szCs w:val="18"/>
        </w:rPr>
        <w:t>.</w:t>
      </w:r>
    </w:p>
    <w:p w:rsidR="003D72AF" w:rsidRDefault="003D72AF" w:rsidP="008442EE">
      <w:pPr>
        <w:ind w:firstLine="2268"/>
        <w:jc w:val="both"/>
        <w:rPr>
          <w:rFonts w:ascii="Verdana" w:hAnsi="Verdana" w:cs="Arial"/>
          <w:sz w:val="18"/>
          <w:szCs w:val="18"/>
        </w:rPr>
      </w:pPr>
    </w:p>
    <w:p w:rsidR="00360D49" w:rsidRDefault="00360D49" w:rsidP="008442EE">
      <w:pPr>
        <w:ind w:firstLine="2268"/>
        <w:jc w:val="both"/>
        <w:rPr>
          <w:rFonts w:ascii="Verdana" w:hAnsi="Verdana" w:cstheme="minorHAnsi"/>
          <w:sz w:val="18"/>
          <w:szCs w:val="18"/>
        </w:rPr>
      </w:pPr>
      <w:r>
        <w:rPr>
          <w:rFonts w:ascii="Verdana" w:hAnsi="Verdana" w:cs="Arial"/>
          <w:sz w:val="18"/>
          <w:szCs w:val="18"/>
        </w:rPr>
        <w:lastRenderedPageBreak/>
        <w:t xml:space="preserve">Diante destes fatos, a Comissão Permanente de Licitações desclassificou as empresas </w:t>
      </w:r>
      <w:r w:rsidRPr="003A030F">
        <w:rPr>
          <w:rFonts w:ascii="Verdana" w:hAnsi="Verdana" w:cstheme="minorHAnsi"/>
          <w:sz w:val="18"/>
          <w:szCs w:val="18"/>
        </w:rPr>
        <w:t>PEMCEL, PROJETOS DE ENGENHARIA, CONSTRUÇÃO CIVIL, ENGENHARIA E LOCAÇÃO LTDA – EPP</w:t>
      </w:r>
      <w:r>
        <w:rPr>
          <w:rFonts w:ascii="Verdana" w:hAnsi="Verdana" w:cstheme="minorHAnsi"/>
          <w:sz w:val="18"/>
          <w:szCs w:val="18"/>
        </w:rPr>
        <w:t xml:space="preserve">, </w:t>
      </w:r>
      <w:r w:rsidRPr="00360D49">
        <w:rPr>
          <w:rFonts w:ascii="Verdana" w:hAnsi="Verdana" w:cstheme="minorHAnsi"/>
          <w:sz w:val="18"/>
          <w:szCs w:val="18"/>
        </w:rPr>
        <w:t>EHP ENGENHARIA EIRELI – ME</w:t>
      </w:r>
      <w:r>
        <w:rPr>
          <w:rFonts w:ascii="Verdana" w:hAnsi="Verdana" w:cstheme="minorHAnsi"/>
          <w:sz w:val="18"/>
          <w:szCs w:val="18"/>
        </w:rPr>
        <w:t xml:space="preserve"> e </w:t>
      </w:r>
      <w:r w:rsidRPr="00360D49">
        <w:rPr>
          <w:rFonts w:ascii="Verdana" w:hAnsi="Verdana" w:cstheme="minorHAnsi"/>
          <w:sz w:val="18"/>
          <w:szCs w:val="18"/>
        </w:rPr>
        <w:t>ZANATTA ENGENHARIA LTDA – EPP</w:t>
      </w:r>
      <w:r w:rsidR="00035F1A">
        <w:rPr>
          <w:rFonts w:ascii="Verdana" w:hAnsi="Verdana" w:cstheme="minorHAnsi"/>
          <w:sz w:val="18"/>
          <w:szCs w:val="18"/>
        </w:rPr>
        <w:t xml:space="preserve"> e manteve sua decisão.</w:t>
      </w:r>
    </w:p>
    <w:p w:rsidR="00360D49" w:rsidRDefault="00360D49" w:rsidP="008442EE">
      <w:pPr>
        <w:ind w:firstLine="2268"/>
        <w:jc w:val="both"/>
        <w:rPr>
          <w:rFonts w:ascii="Verdana" w:hAnsi="Verdana" w:cstheme="minorHAnsi"/>
          <w:sz w:val="18"/>
          <w:szCs w:val="18"/>
        </w:rPr>
      </w:pPr>
      <w:r>
        <w:rPr>
          <w:rFonts w:ascii="Verdana" w:hAnsi="Verdana" w:cstheme="minorHAnsi"/>
          <w:sz w:val="18"/>
          <w:szCs w:val="18"/>
        </w:rPr>
        <w:t xml:space="preserve">No entanto, </w:t>
      </w:r>
      <w:r w:rsidR="00930955">
        <w:rPr>
          <w:rFonts w:ascii="Verdana" w:hAnsi="Verdana" w:cstheme="minorHAnsi"/>
          <w:sz w:val="18"/>
          <w:szCs w:val="18"/>
        </w:rPr>
        <w:t>a</w:t>
      </w:r>
      <w:r w:rsidR="00930955" w:rsidRPr="00930955">
        <w:rPr>
          <w:rFonts w:ascii="Verdana" w:hAnsi="Verdana" w:cstheme="minorHAnsi"/>
          <w:sz w:val="18"/>
          <w:szCs w:val="18"/>
        </w:rPr>
        <w:t xml:space="preserve">pós </w:t>
      </w:r>
      <w:r w:rsidR="00930955">
        <w:rPr>
          <w:rFonts w:ascii="Verdana" w:hAnsi="Verdana" w:cstheme="minorHAnsi"/>
          <w:sz w:val="18"/>
          <w:szCs w:val="18"/>
        </w:rPr>
        <w:t xml:space="preserve">a </w:t>
      </w:r>
      <w:r w:rsidR="00930955" w:rsidRPr="00930955">
        <w:rPr>
          <w:rFonts w:ascii="Verdana" w:hAnsi="Verdana" w:cstheme="minorHAnsi"/>
          <w:sz w:val="18"/>
          <w:szCs w:val="18"/>
        </w:rPr>
        <w:t xml:space="preserve">análise dos recursos, </w:t>
      </w:r>
      <w:r w:rsidR="00035F1A">
        <w:rPr>
          <w:rFonts w:ascii="Verdana" w:hAnsi="Verdana" w:cstheme="minorHAnsi"/>
          <w:sz w:val="18"/>
          <w:szCs w:val="18"/>
        </w:rPr>
        <w:t>entende esta autoridade superior que a decisão da Comissão Permanente de Licitações merece ser reformada</w:t>
      </w:r>
      <w:r>
        <w:rPr>
          <w:rFonts w:ascii="Verdana" w:hAnsi="Verdana" w:cstheme="minorHAnsi"/>
          <w:sz w:val="18"/>
          <w:szCs w:val="18"/>
        </w:rPr>
        <w:t xml:space="preserve">, haja vista que os </w:t>
      </w:r>
      <w:r w:rsidR="00A97627">
        <w:rPr>
          <w:rFonts w:ascii="Verdana" w:hAnsi="Verdana" w:cstheme="minorHAnsi"/>
          <w:sz w:val="18"/>
          <w:szCs w:val="18"/>
        </w:rPr>
        <w:t>equívocos</w:t>
      </w:r>
      <w:r>
        <w:rPr>
          <w:rFonts w:ascii="Verdana" w:hAnsi="Verdana" w:cstheme="minorHAnsi"/>
          <w:sz w:val="18"/>
          <w:szCs w:val="18"/>
        </w:rPr>
        <w:t xml:space="preserve"> </w:t>
      </w:r>
      <w:r w:rsidR="00A97627">
        <w:rPr>
          <w:rFonts w:ascii="Verdana" w:hAnsi="Verdana" w:cstheme="minorHAnsi"/>
          <w:sz w:val="18"/>
          <w:szCs w:val="18"/>
        </w:rPr>
        <w:t>ocorridos nas</w:t>
      </w:r>
      <w:r>
        <w:rPr>
          <w:rFonts w:ascii="Verdana" w:hAnsi="Verdana" w:cstheme="minorHAnsi"/>
          <w:sz w:val="18"/>
          <w:szCs w:val="18"/>
        </w:rPr>
        <w:t xml:space="preserve"> pro</w:t>
      </w:r>
      <w:r w:rsidR="00A97627">
        <w:rPr>
          <w:rFonts w:ascii="Verdana" w:hAnsi="Verdana" w:cstheme="minorHAnsi"/>
          <w:sz w:val="18"/>
          <w:szCs w:val="18"/>
        </w:rPr>
        <w:t>postas podem perfeitamente ser</w:t>
      </w:r>
      <w:r>
        <w:rPr>
          <w:rFonts w:ascii="Verdana" w:hAnsi="Verdana" w:cstheme="minorHAnsi"/>
          <w:sz w:val="18"/>
          <w:szCs w:val="18"/>
        </w:rPr>
        <w:t xml:space="preserve"> sanados, visto que se tratam de erros formais, não tendo o condão de macular o certame.</w:t>
      </w:r>
    </w:p>
    <w:p w:rsidR="00360D49" w:rsidRDefault="00360D49" w:rsidP="008442EE">
      <w:pPr>
        <w:ind w:firstLine="2268"/>
        <w:jc w:val="both"/>
        <w:rPr>
          <w:rFonts w:ascii="Verdana" w:hAnsi="Verdana" w:cstheme="minorHAnsi"/>
          <w:sz w:val="18"/>
          <w:szCs w:val="18"/>
        </w:rPr>
      </w:pPr>
      <w:r>
        <w:rPr>
          <w:rFonts w:ascii="Verdana" w:hAnsi="Verdana" w:cstheme="minorHAnsi"/>
          <w:sz w:val="18"/>
          <w:szCs w:val="18"/>
        </w:rPr>
        <w:t>Para tanto, passemos a tecer alguns comentários.</w:t>
      </w:r>
    </w:p>
    <w:p w:rsidR="00360D49" w:rsidRDefault="00360D49" w:rsidP="008442EE">
      <w:pPr>
        <w:ind w:firstLine="2268"/>
        <w:jc w:val="both"/>
        <w:rPr>
          <w:rFonts w:ascii="Verdana" w:hAnsi="Verdana" w:cstheme="minorHAnsi"/>
          <w:sz w:val="18"/>
          <w:szCs w:val="18"/>
        </w:rPr>
      </w:pPr>
      <w:r>
        <w:rPr>
          <w:rFonts w:ascii="Verdana" w:hAnsi="Verdana" w:cstheme="minorHAnsi"/>
          <w:sz w:val="18"/>
          <w:szCs w:val="18"/>
        </w:rPr>
        <w:t xml:space="preserve">Ao atentar-se para as propostas apresentadas pelas empresas participantes, foi constatado que as empresas </w:t>
      </w:r>
      <w:r w:rsidRPr="00360D49">
        <w:rPr>
          <w:rFonts w:ascii="Verdana" w:hAnsi="Verdana" w:cstheme="minorHAnsi"/>
          <w:sz w:val="18"/>
          <w:szCs w:val="18"/>
        </w:rPr>
        <w:t xml:space="preserve">PEMCEL, PROJETOS DE ENGENHARIA, CONSTRUÇÃO CIVIL, </w:t>
      </w:r>
      <w:r w:rsidR="00A97627">
        <w:rPr>
          <w:rFonts w:ascii="Verdana" w:hAnsi="Verdana" w:cstheme="minorHAnsi"/>
          <w:sz w:val="18"/>
          <w:szCs w:val="18"/>
        </w:rPr>
        <w:t>ENGENHARIA E LOCAÇÃO LTDA – EPP e</w:t>
      </w:r>
      <w:r w:rsidRPr="00360D49">
        <w:rPr>
          <w:rFonts w:ascii="Verdana" w:hAnsi="Verdana" w:cstheme="minorHAnsi"/>
          <w:sz w:val="18"/>
          <w:szCs w:val="18"/>
        </w:rPr>
        <w:t xml:space="preserve"> EHP ENGENHARIA EIRELI – ME</w:t>
      </w:r>
      <w:r w:rsidR="00A97627">
        <w:rPr>
          <w:rFonts w:ascii="Verdana" w:hAnsi="Verdana" w:cstheme="minorHAnsi"/>
          <w:sz w:val="18"/>
          <w:szCs w:val="18"/>
        </w:rPr>
        <w:t xml:space="preserve">, além de apresentarem suas propostas com valores unitários com mais de duas casas decimais, </w:t>
      </w:r>
      <w:r>
        <w:rPr>
          <w:rFonts w:ascii="Verdana" w:hAnsi="Verdana" w:cstheme="minorHAnsi"/>
          <w:sz w:val="18"/>
          <w:szCs w:val="18"/>
        </w:rPr>
        <w:t>elaboraram suas propostas utilizando o anexo correspondente ao orçamento obtido pela Administração</w:t>
      </w:r>
      <w:r w:rsidR="00A97627">
        <w:rPr>
          <w:rFonts w:ascii="Verdana" w:hAnsi="Verdana" w:cstheme="minorHAnsi"/>
          <w:sz w:val="18"/>
          <w:szCs w:val="18"/>
        </w:rPr>
        <w:t xml:space="preserve"> (planilha de quantitativos e preços unitários)</w:t>
      </w:r>
      <w:r>
        <w:rPr>
          <w:rFonts w:ascii="Verdana" w:hAnsi="Verdana" w:cstheme="minorHAnsi"/>
          <w:sz w:val="18"/>
          <w:szCs w:val="18"/>
        </w:rPr>
        <w:t xml:space="preserve"> e não o modelo de proposta. Tanto é, que podemos verificar que</w:t>
      </w:r>
      <w:r w:rsidR="00201FB6">
        <w:rPr>
          <w:rFonts w:ascii="Verdana" w:hAnsi="Verdana" w:cstheme="minorHAnsi"/>
          <w:sz w:val="18"/>
          <w:szCs w:val="18"/>
        </w:rPr>
        <w:t>, juntamente a</w:t>
      </w:r>
      <w:r>
        <w:rPr>
          <w:rFonts w:ascii="Verdana" w:hAnsi="Verdana" w:cstheme="minorHAnsi"/>
          <w:sz w:val="18"/>
          <w:szCs w:val="18"/>
        </w:rPr>
        <w:t>os preços ofertados, estão os códigos da</w:t>
      </w:r>
      <w:r w:rsidR="00A97627">
        <w:rPr>
          <w:rFonts w:ascii="Verdana" w:hAnsi="Verdana" w:cstheme="minorHAnsi"/>
          <w:sz w:val="18"/>
          <w:szCs w:val="18"/>
        </w:rPr>
        <w:t>s T</w:t>
      </w:r>
      <w:r>
        <w:rPr>
          <w:rFonts w:ascii="Verdana" w:hAnsi="Verdana" w:cstheme="minorHAnsi"/>
          <w:sz w:val="18"/>
          <w:szCs w:val="18"/>
        </w:rPr>
        <w:t>abela</w:t>
      </w:r>
      <w:r w:rsidR="00A97627">
        <w:rPr>
          <w:rFonts w:ascii="Verdana" w:hAnsi="Verdana" w:cstheme="minorHAnsi"/>
          <w:sz w:val="18"/>
          <w:szCs w:val="18"/>
        </w:rPr>
        <w:t>s</w:t>
      </w:r>
      <w:r>
        <w:rPr>
          <w:rFonts w:ascii="Verdana" w:hAnsi="Verdana" w:cstheme="minorHAnsi"/>
          <w:sz w:val="18"/>
          <w:szCs w:val="18"/>
        </w:rPr>
        <w:t xml:space="preserve"> </w:t>
      </w:r>
      <w:r w:rsidR="00A97627">
        <w:rPr>
          <w:rFonts w:ascii="Verdana" w:hAnsi="Verdana" w:cstheme="minorHAnsi"/>
          <w:sz w:val="18"/>
          <w:szCs w:val="18"/>
        </w:rPr>
        <w:t>PINI e CPOS utilizados para a obtenção do valor estimado. No entanto, tais códigos são referentes aos preços estimados pela Secretaria de Obras e, uma vez alterados pelas licitantes, quando da elaboração das propostas, logicamente não serão mais condizentes com os novos valores</w:t>
      </w:r>
      <w:r w:rsidR="00201FB6">
        <w:rPr>
          <w:rFonts w:ascii="Verdana" w:hAnsi="Verdana" w:cstheme="minorHAnsi"/>
          <w:sz w:val="18"/>
          <w:szCs w:val="18"/>
        </w:rPr>
        <w:t>, sendo, portanto, equivocados</w:t>
      </w:r>
      <w:r w:rsidR="00A97627">
        <w:rPr>
          <w:rFonts w:ascii="Verdana" w:hAnsi="Verdana" w:cstheme="minorHAnsi"/>
          <w:sz w:val="18"/>
          <w:szCs w:val="18"/>
        </w:rPr>
        <w:t xml:space="preserve">. A empresa </w:t>
      </w:r>
      <w:r w:rsidR="00A97627" w:rsidRPr="00360D49">
        <w:rPr>
          <w:rFonts w:ascii="Verdana" w:hAnsi="Verdana" w:cstheme="minorHAnsi"/>
          <w:sz w:val="18"/>
          <w:szCs w:val="18"/>
        </w:rPr>
        <w:t>PEMCEL, PROJETOS DE ENGENHARIA, CONSTRUÇÃO CIVIL, ENGENHARIA E LOCAÇÃO LTDA – EPP</w:t>
      </w:r>
      <w:r w:rsidR="00A97627">
        <w:rPr>
          <w:rFonts w:ascii="Verdana" w:hAnsi="Verdana" w:cstheme="minorHAnsi"/>
          <w:sz w:val="18"/>
          <w:szCs w:val="18"/>
        </w:rPr>
        <w:t xml:space="preserve"> apresentou sua composição do BDI de maneira distinta a do edital.</w:t>
      </w:r>
    </w:p>
    <w:p w:rsidR="00A97627" w:rsidRDefault="00A97627" w:rsidP="00A97627">
      <w:pPr>
        <w:ind w:firstLine="2268"/>
        <w:jc w:val="both"/>
        <w:rPr>
          <w:rFonts w:ascii="Verdana" w:hAnsi="Verdana" w:cstheme="minorHAnsi"/>
          <w:sz w:val="18"/>
          <w:szCs w:val="18"/>
        </w:rPr>
      </w:pPr>
      <w:r>
        <w:rPr>
          <w:rFonts w:ascii="Verdana" w:hAnsi="Verdana" w:cstheme="minorHAnsi"/>
          <w:sz w:val="18"/>
          <w:szCs w:val="18"/>
        </w:rPr>
        <w:t xml:space="preserve">Quanto à empresa </w:t>
      </w:r>
      <w:r w:rsidRPr="00360D49">
        <w:rPr>
          <w:rFonts w:ascii="Verdana" w:hAnsi="Verdana" w:cstheme="minorHAnsi"/>
          <w:sz w:val="18"/>
          <w:szCs w:val="18"/>
        </w:rPr>
        <w:t>ZANATTA ENGENHARIA LTDA – EPP</w:t>
      </w:r>
      <w:r>
        <w:rPr>
          <w:rFonts w:ascii="Verdana" w:hAnsi="Verdana" w:cstheme="minorHAnsi"/>
          <w:sz w:val="18"/>
          <w:szCs w:val="18"/>
        </w:rPr>
        <w:t>, constatou-se realmente, que a mesma também apresentou sua proposta com valores com mais de duas casas decimais</w:t>
      </w:r>
      <w:r w:rsidR="000019FF">
        <w:rPr>
          <w:rFonts w:ascii="Verdana" w:hAnsi="Verdana" w:cstheme="minorHAnsi"/>
          <w:sz w:val="18"/>
          <w:szCs w:val="18"/>
        </w:rPr>
        <w:t>, porém no modelo de proposta correto</w:t>
      </w:r>
      <w:r>
        <w:rPr>
          <w:rFonts w:ascii="Verdana" w:hAnsi="Verdana" w:cstheme="minorHAnsi"/>
          <w:sz w:val="18"/>
          <w:szCs w:val="18"/>
        </w:rPr>
        <w:t>.</w:t>
      </w:r>
    </w:p>
    <w:p w:rsidR="00133696" w:rsidRDefault="00A97627" w:rsidP="00A97627">
      <w:pPr>
        <w:ind w:firstLine="2268"/>
        <w:jc w:val="both"/>
        <w:rPr>
          <w:rFonts w:ascii="Verdana" w:hAnsi="Verdana" w:cstheme="minorHAnsi"/>
          <w:sz w:val="18"/>
          <w:szCs w:val="18"/>
        </w:rPr>
      </w:pPr>
      <w:r>
        <w:rPr>
          <w:rFonts w:ascii="Verdana" w:hAnsi="Verdana" w:cstheme="minorHAnsi"/>
          <w:sz w:val="18"/>
          <w:szCs w:val="18"/>
        </w:rPr>
        <w:t xml:space="preserve">Contudo, tais equívocos </w:t>
      </w:r>
      <w:r w:rsidR="000019FF">
        <w:rPr>
          <w:rFonts w:ascii="Verdana" w:hAnsi="Verdana" w:cstheme="minorHAnsi"/>
          <w:sz w:val="18"/>
          <w:szCs w:val="18"/>
        </w:rPr>
        <w:t>podem si, ser considerados</w:t>
      </w:r>
      <w:r w:rsidR="00133696">
        <w:rPr>
          <w:rFonts w:ascii="Verdana" w:hAnsi="Verdana" w:cstheme="minorHAnsi"/>
          <w:sz w:val="18"/>
          <w:szCs w:val="18"/>
        </w:rPr>
        <w:t xml:space="preserve"> erros formais, perfeitamente sanáveis sem qualquer prejuízo para a Administração</w:t>
      </w:r>
      <w:r>
        <w:rPr>
          <w:rFonts w:ascii="Verdana" w:hAnsi="Verdana" w:cstheme="minorHAnsi"/>
          <w:sz w:val="18"/>
          <w:szCs w:val="18"/>
        </w:rPr>
        <w:t>.</w:t>
      </w:r>
      <w:r w:rsidR="00133696">
        <w:rPr>
          <w:rFonts w:ascii="Verdana" w:hAnsi="Verdana" w:cstheme="minorHAnsi"/>
          <w:sz w:val="18"/>
          <w:szCs w:val="18"/>
        </w:rPr>
        <w:t xml:space="preserve"> Tanto as propostas, quanto a composição do BDI não implicam na nulidade da proposta. Primeiro por se tratarem de erros de arredondamento e, segundo, a composição do BDI não era exigida estritamente igual à constante do edital, visto que a mesma era </w:t>
      </w:r>
      <w:r w:rsidR="000019FF">
        <w:rPr>
          <w:rFonts w:ascii="Verdana" w:hAnsi="Verdana" w:cstheme="minorHAnsi"/>
          <w:sz w:val="18"/>
          <w:szCs w:val="18"/>
        </w:rPr>
        <w:t xml:space="preserve">apenas </w:t>
      </w:r>
      <w:r w:rsidR="00133696">
        <w:rPr>
          <w:rFonts w:ascii="Verdana" w:hAnsi="Verdana" w:cstheme="minorHAnsi"/>
          <w:sz w:val="18"/>
          <w:szCs w:val="18"/>
        </w:rPr>
        <w:t xml:space="preserve">uma referência </w:t>
      </w:r>
      <w:r w:rsidR="000019FF">
        <w:rPr>
          <w:rFonts w:ascii="Verdana" w:hAnsi="Verdana" w:cstheme="minorHAnsi"/>
          <w:sz w:val="18"/>
          <w:szCs w:val="18"/>
        </w:rPr>
        <w:t>utilizada</w:t>
      </w:r>
      <w:r w:rsidR="00133696">
        <w:rPr>
          <w:rFonts w:ascii="Verdana" w:hAnsi="Verdana" w:cstheme="minorHAnsi"/>
          <w:sz w:val="18"/>
          <w:szCs w:val="18"/>
        </w:rPr>
        <w:t xml:space="preserve"> pela Administração. Ou seja, a empresa poderia apresentar seu BDI da maneira que entendesse correta, desde que detalhado e seguido.</w:t>
      </w:r>
    </w:p>
    <w:p w:rsidR="00D40E75" w:rsidRDefault="00D40E75" w:rsidP="00A97627">
      <w:pPr>
        <w:ind w:firstLine="2268"/>
        <w:jc w:val="both"/>
        <w:rPr>
          <w:rFonts w:ascii="Verdana" w:hAnsi="Verdana" w:cstheme="minorHAnsi"/>
          <w:sz w:val="18"/>
          <w:szCs w:val="18"/>
        </w:rPr>
      </w:pPr>
      <w:r>
        <w:rPr>
          <w:rFonts w:ascii="Verdana" w:hAnsi="Verdana" w:cstheme="minorHAnsi"/>
          <w:sz w:val="18"/>
          <w:szCs w:val="18"/>
        </w:rPr>
        <w:t>Portanto, nestas primeiras considerações já estão esclarecidos os</w:t>
      </w:r>
      <w:r w:rsidR="00E46B4B">
        <w:rPr>
          <w:rFonts w:ascii="Verdana" w:hAnsi="Verdana" w:cstheme="minorHAnsi"/>
          <w:sz w:val="18"/>
          <w:szCs w:val="18"/>
        </w:rPr>
        <w:t xml:space="preserve"> pontos principais da discussão</w:t>
      </w:r>
      <w:r w:rsidR="00035F1A">
        <w:rPr>
          <w:rFonts w:ascii="Verdana" w:hAnsi="Verdana" w:cstheme="minorHAnsi"/>
          <w:sz w:val="18"/>
          <w:szCs w:val="18"/>
        </w:rPr>
        <w:t>.</w:t>
      </w:r>
      <w:r w:rsidR="00E46B4B">
        <w:rPr>
          <w:rFonts w:ascii="Verdana" w:hAnsi="Verdana" w:cstheme="minorHAnsi"/>
          <w:sz w:val="18"/>
          <w:szCs w:val="18"/>
        </w:rPr>
        <w:t xml:space="preserve"> I</w:t>
      </w:r>
      <w:r>
        <w:rPr>
          <w:rFonts w:ascii="Verdana" w:hAnsi="Verdana" w:cstheme="minorHAnsi"/>
          <w:sz w:val="18"/>
          <w:szCs w:val="18"/>
        </w:rPr>
        <w:t>nclusive</w:t>
      </w:r>
      <w:r w:rsidR="00E46B4B">
        <w:rPr>
          <w:rFonts w:ascii="Verdana" w:hAnsi="Verdana" w:cstheme="minorHAnsi"/>
          <w:sz w:val="18"/>
          <w:szCs w:val="18"/>
        </w:rPr>
        <w:t xml:space="preserve"> já </w:t>
      </w:r>
      <w:r w:rsidR="00035F1A">
        <w:rPr>
          <w:rFonts w:ascii="Verdana" w:hAnsi="Verdana" w:cstheme="minorHAnsi"/>
          <w:sz w:val="18"/>
          <w:szCs w:val="18"/>
        </w:rPr>
        <w:t xml:space="preserve">se </w:t>
      </w:r>
      <w:r w:rsidR="00E46B4B">
        <w:rPr>
          <w:rFonts w:ascii="Verdana" w:hAnsi="Verdana" w:cstheme="minorHAnsi"/>
          <w:sz w:val="18"/>
          <w:szCs w:val="18"/>
        </w:rPr>
        <w:t>aproveita o ensejo para negar p</w:t>
      </w:r>
      <w:r>
        <w:rPr>
          <w:rFonts w:ascii="Verdana" w:hAnsi="Verdana" w:cstheme="minorHAnsi"/>
          <w:sz w:val="18"/>
          <w:szCs w:val="18"/>
        </w:rPr>
        <w:t xml:space="preserve">rocedência </w:t>
      </w:r>
      <w:r w:rsidR="00E46B4B">
        <w:rPr>
          <w:rFonts w:ascii="Verdana" w:hAnsi="Verdana" w:cstheme="minorHAnsi"/>
          <w:sz w:val="18"/>
          <w:szCs w:val="18"/>
        </w:rPr>
        <w:t>do pedido</w:t>
      </w:r>
      <w:r>
        <w:rPr>
          <w:rFonts w:ascii="Verdana" w:hAnsi="Verdana" w:cstheme="minorHAnsi"/>
          <w:sz w:val="18"/>
          <w:szCs w:val="18"/>
        </w:rPr>
        <w:t xml:space="preserve"> da empresa </w:t>
      </w:r>
      <w:r w:rsidRPr="00360D49">
        <w:rPr>
          <w:rFonts w:ascii="Verdana" w:hAnsi="Verdana" w:cstheme="minorHAnsi"/>
          <w:sz w:val="18"/>
          <w:szCs w:val="18"/>
        </w:rPr>
        <w:t>PEMCEL, PROJETOS DE ENGENHARIA, CONSTRUÇÃO CIVIL</w:t>
      </w:r>
      <w:r w:rsidR="00E46B4B">
        <w:rPr>
          <w:rFonts w:ascii="Verdana" w:hAnsi="Verdana" w:cstheme="minorHAnsi"/>
          <w:sz w:val="18"/>
          <w:szCs w:val="18"/>
        </w:rPr>
        <w:t xml:space="preserve"> para a desclassificação da empresa TECNOCON ENGENHARIA E CONSTRUÇÃO LTDA, visto que, conforme </w:t>
      </w:r>
      <w:proofErr w:type="gramStart"/>
      <w:r w:rsidR="00E46B4B">
        <w:rPr>
          <w:rFonts w:ascii="Verdana" w:hAnsi="Verdana" w:cstheme="minorHAnsi"/>
          <w:sz w:val="18"/>
          <w:szCs w:val="18"/>
        </w:rPr>
        <w:t>supra mencionado</w:t>
      </w:r>
      <w:proofErr w:type="gramEnd"/>
      <w:r w:rsidR="00E46B4B">
        <w:rPr>
          <w:rFonts w:ascii="Verdana" w:hAnsi="Verdana" w:cstheme="minorHAnsi"/>
          <w:sz w:val="18"/>
          <w:szCs w:val="18"/>
        </w:rPr>
        <w:t>, no modelo de proposta a ser preenchido não con</w:t>
      </w:r>
      <w:r w:rsidR="00035F1A">
        <w:rPr>
          <w:rFonts w:ascii="Verdana" w:hAnsi="Verdana" w:cstheme="minorHAnsi"/>
          <w:sz w:val="18"/>
          <w:szCs w:val="18"/>
        </w:rPr>
        <w:t>s</w:t>
      </w:r>
      <w:r w:rsidR="00E46B4B">
        <w:rPr>
          <w:rFonts w:ascii="Verdana" w:hAnsi="Verdana" w:cstheme="minorHAnsi"/>
          <w:sz w:val="18"/>
          <w:szCs w:val="18"/>
        </w:rPr>
        <w:t>tam os códigos dos serviços, bem como o BDI apresentado pela empresa encontra-se em conformidade com o exigido.</w:t>
      </w:r>
    </w:p>
    <w:p w:rsidR="00035F1A" w:rsidRDefault="00035F1A" w:rsidP="00A97627">
      <w:pPr>
        <w:ind w:firstLine="2268"/>
        <w:jc w:val="both"/>
        <w:rPr>
          <w:rFonts w:ascii="Verdana" w:hAnsi="Verdana" w:cstheme="minorHAnsi"/>
          <w:sz w:val="18"/>
          <w:szCs w:val="18"/>
        </w:rPr>
      </w:pPr>
    </w:p>
    <w:p w:rsidR="004D6D6B" w:rsidRDefault="004D6D6B" w:rsidP="00A97627">
      <w:pPr>
        <w:ind w:firstLine="2268"/>
        <w:jc w:val="both"/>
        <w:rPr>
          <w:rFonts w:ascii="Verdana" w:hAnsi="Verdana" w:cstheme="minorHAnsi"/>
          <w:sz w:val="18"/>
          <w:szCs w:val="18"/>
        </w:rPr>
      </w:pPr>
      <w:r>
        <w:rPr>
          <w:rFonts w:ascii="Verdana" w:hAnsi="Verdana" w:cstheme="minorHAnsi"/>
          <w:sz w:val="18"/>
          <w:szCs w:val="18"/>
        </w:rPr>
        <w:lastRenderedPageBreak/>
        <w:t xml:space="preserve">Para que não pairem quaisquer dúvidas em relação à </w:t>
      </w:r>
      <w:r w:rsidR="00035F1A">
        <w:rPr>
          <w:rFonts w:ascii="Verdana" w:hAnsi="Verdana" w:cstheme="minorHAnsi"/>
          <w:sz w:val="18"/>
          <w:szCs w:val="18"/>
        </w:rPr>
        <w:t>presente decisão,</w:t>
      </w:r>
      <w:r>
        <w:rPr>
          <w:rFonts w:ascii="Verdana" w:hAnsi="Verdana" w:cstheme="minorHAnsi"/>
          <w:sz w:val="18"/>
          <w:szCs w:val="18"/>
        </w:rPr>
        <w:t xml:space="preserve"> imprescindível aprofundar-se mais no tema.</w:t>
      </w:r>
    </w:p>
    <w:p w:rsidR="009333E0" w:rsidRDefault="009333E0" w:rsidP="00A97627">
      <w:pPr>
        <w:ind w:firstLine="2268"/>
        <w:jc w:val="both"/>
        <w:rPr>
          <w:rFonts w:ascii="Verdana" w:hAnsi="Verdana" w:cstheme="minorHAnsi"/>
          <w:sz w:val="18"/>
          <w:szCs w:val="18"/>
        </w:rPr>
      </w:pPr>
      <w:r w:rsidRPr="009333E0">
        <w:rPr>
          <w:rFonts w:ascii="Verdana" w:hAnsi="Verdana" w:cstheme="minorHAnsi"/>
          <w:sz w:val="18"/>
          <w:szCs w:val="18"/>
        </w:rPr>
        <w:t xml:space="preserve">O principal objetivo </w:t>
      </w:r>
      <w:r w:rsidR="00133696">
        <w:rPr>
          <w:rFonts w:ascii="Verdana" w:hAnsi="Verdana" w:cstheme="minorHAnsi"/>
          <w:sz w:val="18"/>
          <w:szCs w:val="18"/>
        </w:rPr>
        <w:t>da licitação</w:t>
      </w:r>
      <w:r w:rsidRPr="009333E0">
        <w:rPr>
          <w:rFonts w:ascii="Verdana" w:hAnsi="Verdana" w:cstheme="minorHAnsi"/>
          <w:sz w:val="18"/>
          <w:szCs w:val="18"/>
        </w:rPr>
        <w:t xml:space="preserve">, como </w:t>
      </w:r>
      <w:r w:rsidR="00133696">
        <w:rPr>
          <w:rFonts w:ascii="Verdana" w:hAnsi="Verdana" w:cstheme="minorHAnsi"/>
          <w:sz w:val="18"/>
          <w:szCs w:val="18"/>
        </w:rPr>
        <w:t>é sabido</w:t>
      </w:r>
      <w:r w:rsidRPr="009333E0">
        <w:rPr>
          <w:rFonts w:ascii="Verdana" w:hAnsi="Verdana" w:cstheme="minorHAnsi"/>
          <w:sz w:val="18"/>
          <w:szCs w:val="18"/>
        </w:rPr>
        <w:t xml:space="preserve">, é </w:t>
      </w:r>
      <w:r w:rsidR="001D6C3F">
        <w:rPr>
          <w:rFonts w:ascii="Verdana" w:hAnsi="Verdana" w:cstheme="minorHAnsi"/>
          <w:sz w:val="18"/>
          <w:szCs w:val="18"/>
        </w:rPr>
        <w:t xml:space="preserve">o de </w:t>
      </w:r>
      <w:r w:rsidRPr="009333E0">
        <w:rPr>
          <w:rFonts w:ascii="Verdana" w:hAnsi="Verdana" w:cstheme="minorHAnsi"/>
          <w:sz w:val="18"/>
          <w:szCs w:val="18"/>
        </w:rPr>
        <w:t>suprir demandas de serviços e bens no preço mais vantajoso possível, atendendo-se, desta forma, o princípio do interesse público.</w:t>
      </w:r>
    </w:p>
    <w:p w:rsidR="009333E0" w:rsidRDefault="009333E0" w:rsidP="00A97627">
      <w:pPr>
        <w:ind w:firstLine="2268"/>
        <w:jc w:val="both"/>
        <w:rPr>
          <w:rFonts w:ascii="Verdana" w:hAnsi="Verdana" w:cstheme="minorHAnsi"/>
          <w:sz w:val="18"/>
          <w:szCs w:val="18"/>
        </w:rPr>
      </w:pPr>
      <w:r>
        <w:rPr>
          <w:rFonts w:ascii="Verdana" w:hAnsi="Verdana" w:cstheme="minorHAnsi"/>
          <w:sz w:val="18"/>
          <w:szCs w:val="18"/>
        </w:rPr>
        <w:t>Não permitir</w:t>
      </w:r>
      <w:r w:rsidRPr="009333E0">
        <w:rPr>
          <w:rFonts w:ascii="Verdana" w:hAnsi="Verdana" w:cstheme="minorHAnsi"/>
          <w:sz w:val="18"/>
          <w:szCs w:val="18"/>
        </w:rPr>
        <w:t xml:space="preserve">, portanto, que um licitante </w:t>
      </w:r>
      <w:r w:rsidR="00133696">
        <w:rPr>
          <w:rFonts w:ascii="Verdana" w:hAnsi="Verdana" w:cstheme="minorHAnsi"/>
          <w:sz w:val="18"/>
          <w:szCs w:val="18"/>
        </w:rPr>
        <w:t>seja classificado</w:t>
      </w:r>
      <w:r w:rsidRPr="009333E0">
        <w:rPr>
          <w:rFonts w:ascii="Verdana" w:hAnsi="Verdana" w:cstheme="minorHAnsi"/>
          <w:sz w:val="18"/>
          <w:szCs w:val="18"/>
        </w:rPr>
        <w:t xml:space="preserve"> ou tenha o objeto licitatório adjudicado por meros erros formais, o chamado formalismo exacerbado, pode vir a impedir o cumprimento desta finalidade precípua da licitação.</w:t>
      </w:r>
    </w:p>
    <w:p w:rsidR="009333E0" w:rsidRDefault="009333E0" w:rsidP="00A97627">
      <w:pPr>
        <w:ind w:firstLine="2268"/>
        <w:jc w:val="both"/>
        <w:rPr>
          <w:rFonts w:ascii="Verdana" w:hAnsi="Verdana" w:cstheme="minorHAnsi"/>
          <w:sz w:val="18"/>
          <w:szCs w:val="18"/>
        </w:rPr>
      </w:pPr>
      <w:r>
        <w:rPr>
          <w:rFonts w:ascii="Verdana" w:hAnsi="Verdana" w:cstheme="minorHAnsi"/>
          <w:sz w:val="18"/>
          <w:szCs w:val="18"/>
        </w:rPr>
        <w:t>Entende-se que a</w:t>
      </w:r>
      <w:r w:rsidRPr="009333E0">
        <w:rPr>
          <w:rFonts w:ascii="Verdana" w:hAnsi="Verdana" w:cstheme="minorHAnsi"/>
          <w:sz w:val="18"/>
          <w:szCs w:val="18"/>
        </w:rPr>
        <w:t xml:space="preserve"> desclassificação da empresa licitante deve </w:t>
      </w:r>
      <w:r>
        <w:rPr>
          <w:rFonts w:ascii="Verdana" w:hAnsi="Verdana" w:cstheme="minorHAnsi"/>
          <w:sz w:val="18"/>
          <w:szCs w:val="18"/>
        </w:rPr>
        <w:t xml:space="preserve">prevalecer </w:t>
      </w:r>
      <w:r w:rsidRPr="009333E0">
        <w:rPr>
          <w:rFonts w:ascii="Verdana" w:hAnsi="Verdana" w:cstheme="minorHAnsi"/>
          <w:sz w:val="18"/>
          <w:szCs w:val="18"/>
        </w:rPr>
        <w:t>somente quando forem infringidos valores jurídicos relevantes, de modo a comprometer os fins visados e não quando podem ser supridos de forma imediata e sem qualquer prejuízo aos demais participantes e à Administração Pública.</w:t>
      </w:r>
    </w:p>
    <w:p w:rsidR="00A97627" w:rsidRPr="00A97627" w:rsidRDefault="00A97627" w:rsidP="00A97627">
      <w:pPr>
        <w:spacing w:beforeAutospacing="1" w:after="100" w:afterAutospacing="1" w:line="240" w:lineRule="auto"/>
        <w:ind w:firstLine="2268"/>
        <w:jc w:val="both"/>
        <w:rPr>
          <w:rFonts w:ascii="Verdana" w:eastAsia="Times New Roman" w:hAnsi="Verdana" w:cs="Times New Roman"/>
          <w:sz w:val="18"/>
          <w:szCs w:val="18"/>
          <w:lang w:eastAsia="pt-BR"/>
        </w:rPr>
      </w:pPr>
      <w:r>
        <w:rPr>
          <w:rFonts w:ascii="Verdana" w:eastAsia="Times New Roman" w:hAnsi="Verdana" w:cs="Times New Roman"/>
          <w:sz w:val="18"/>
          <w:szCs w:val="18"/>
          <w:lang w:eastAsia="pt-BR"/>
        </w:rPr>
        <w:t xml:space="preserve">Neste sentido, encontra-se na doutrina inúmeras opiniões que o </w:t>
      </w:r>
      <w:r w:rsidRPr="00A97627">
        <w:rPr>
          <w:rFonts w:ascii="Verdana" w:eastAsia="Times New Roman" w:hAnsi="Verdana" w:cs="Times New Roman"/>
          <w:sz w:val="18"/>
          <w:szCs w:val="18"/>
          <w:lang w:eastAsia="pt-BR"/>
        </w:rPr>
        <w:t>erro formal não vicia e nem torna inválido o documento. Haverá um erro formal no documento quando for possível, pelo contexto e pelas circunstâncias, identificar a coisa ou validar o ato.</w:t>
      </w:r>
    </w:p>
    <w:p w:rsidR="009D025E" w:rsidRDefault="00A97627" w:rsidP="00A97627">
      <w:pPr>
        <w:spacing w:beforeAutospacing="1" w:after="100" w:afterAutospacing="1" w:line="240" w:lineRule="auto"/>
        <w:ind w:firstLine="2268"/>
        <w:jc w:val="both"/>
        <w:rPr>
          <w:rFonts w:ascii="Verdana" w:eastAsia="Times New Roman" w:hAnsi="Verdana" w:cs="Times New Roman"/>
          <w:sz w:val="18"/>
          <w:szCs w:val="18"/>
          <w:lang w:eastAsia="pt-BR"/>
        </w:rPr>
      </w:pPr>
      <w:r w:rsidRPr="00A97627">
        <w:rPr>
          <w:rFonts w:ascii="Verdana" w:eastAsia="Times New Roman" w:hAnsi="Verdana" w:cs="Times New Roman"/>
          <w:sz w:val="18"/>
          <w:szCs w:val="18"/>
          <w:lang w:eastAsia="pt-BR"/>
        </w:rPr>
        <w:t xml:space="preserve">Se um documento </w:t>
      </w:r>
      <w:r>
        <w:rPr>
          <w:rFonts w:ascii="Verdana" w:eastAsia="Times New Roman" w:hAnsi="Verdana" w:cs="Times New Roman"/>
          <w:sz w:val="18"/>
          <w:szCs w:val="18"/>
          <w:lang w:eastAsia="pt-BR"/>
        </w:rPr>
        <w:t>for elaborado</w:t>
      </w:r>
      <w:r w:rsidRPr="00A97627">
        <w:rPr>
          <w:rFonts w:ascii="Verdana" w:eastAsia="Times New Roman" w:hAnsi="Verdana" w:cs="Times New Roman"/>
          <w:sz w:val="18"/>
          <w:szCs w:val="18"/>
          <w:lang w:eastAsia="pt-BR"/>
        </w:rPr>
        <w:t xml:space="preserve"> de forma diferente da exigida, mas alcançou os objetivos pretendidos ou a finalidade essencial, reputar-se-á válido (ex.: uma proposta foi manuscrita quando deveria ser datilografada ou impressa; uma proposta foi apresentada em modelo diverso do edital, mas obedeceu a todo conteúdo exigido).  Segundo o princípio da instrumentalidade considerar-se-á válido um documento que, embora produzido de forma diferente da exigida, ainda assim, atingir a finalidade pretendida.</w:t>
      </w:r>
      <w:r>
        <w:rPr>
          <w:rFonts w:ascii="Verdana" w:eastAsia="Times New Roman" w:hAnsi="Verdana" w:cs="Times New Roman"/>
          <w:sz w:val="18"/>
          <w:szCs w:val="18"/>
          <w:lang w:eastAsia="pt-BR"/>
        </w:rPr>
        <w:t xml:space="preserve"> </w:t>
      </w:r>
    </w:p>
    <w:p w:rsidR="009333E0" w:rsidRDefault="009333E0" w:rsidP="00A97627">
      <w:pPr>
        <w:spacing w:beforeAutospacing="1" w:after="100" w:afterAutospacing="1" w:line="240" w:lineRule="auto"/>
        <w:ind w:firstLine="2268"/>
        <w:jc w:val="both"/>
        <w:rPr>
          <w:rFonts w:ascii="Verdana" w:hAnsi="Verdana" w:cstheme="minorHAnsi"/>
          <w:sz w:val="18"/>
          <w:szCs w:val="18"/>
        </w:rPr>
      </w:pPr>
      <w:r>
        <w:rPr>
          <w:rFonts w:ascii="Verdana" w:hAnsi="Verdana" w:cstheme="minorHAnsi"/>
          <w:sz w:val="18"/>
          <w:szCs w:val="18"/>
        </w:rPr>
        <w:t>Quanto à diferença nos valores das propostas, o</w:t>
      </w:r>
      <w:r w:rsidRPr="009333E0">
        <w:rPr>
          <w:rFonts w:ascii="Verdana" w:hAnsi="Verdana" w:cstheme="minorHAnsi"/>
          <w:sz w:val="18"/>
          <w:szCs w:val="18"/>
        </w:rPr>
        <w:t xml:space="preserve"> afastamento de uma contratação mais vantajosa pelo simples fato de existir um erro formal, no caso </w:t>
      </w:r>
      <w:r>
        <w:rPr>
          <w:rFonts w:ascii="Verdana" w:hAnsi="Verdana" w:cstheme="minorHAnsi"/>
          <w:sz w:val="18"/>
          <w:szCs w:val="18"/>
        </w:rPr>
        <w:t>em tela</w:t>
      </w:r>
      <w:r w:rsidRPr="009333E0">
        <w:rPr>
          <w:rFonts w:ascii="Verdana" w:hAnsi="Verdana" w:cstheme="minorHAnsi"/>
          <w:sz w:val="18"/>
          <w:szCs w:val="18"/>
        </w:rPr>
        <w:t xml:space="preserve">, um erro de </w:t>
      </w:r>
      <w:r>
        <w:rPr>
          <w:rFonts w:ascii="Verdana" w:hAnsi="Verdana" w:cstheme="minorHAnsi"/>
          <w:sz w:val="18"/>
          <w:szCs w:val="18"/>
        </w:rPr>
        <w:t>arredondamento</w:t>
      </w:r>
      <w:r w:rsidRPr="009333E0">
        <w:rPr>
          <w:rFonts w:ascii="Verdana" w:hAnsi="Verdana" w:cstheme="minorHAnsi"/>
          <w:sz w:val="18"/>
          <w:szCs w:val="18"/>
        </w:rPr>
        <w:t xml:space="preserve">, </w:t>
      </w:r>
      <w:r>
        <w:rPr>
          <w:rFonts w:ascii="Verdana" w:hAnsi="Verdana" w:cstheme="minorHAnsi"/>
          <w:sz w:val="18"/>
          <w:szCs w:val="18"/>
        </w:rPr>
        <w:t xml:space="preserve">pode </w:t>
      </w:r>
      <w:r w:rsidRPr="009333E0">
        <w:rPr>
          <w:rFonts w:ascii="Verdana" w:hAnsi="Verdana" w:cstheme="minorHAnsi"/>
          <w:sz w:val="18"/>
          <w:szCs w:val="18"/>
        </w:rPr>
        <w:t>constitui uma verdadeira violação à ordem jurídica, em especial aos princípios da competitividade, da economicidade e da razoabilidade e proporcionalidade, bem como da eficiência, afastando-se uma contratação mais vantajosa e onerando os cofres públicos sem qualquer necessidade.</w:t>
      </w:r>
    </w:p>
    <w:p w:rsidR="005051FD" w:rsidRPr="005051FD" w:rsidRDefault="005051FD" w:rsidP="005051FD">
      <w:pPr>
        <w:spacing w:beforeAutospacing="1" w:after="100" w:afterAutospacing="1" w:line="240" w:lineRule="auto"/>
        <w:ind w:firstLine="2268"/>
        <w:jc w:val="both"/>
        <w:rPr>
          <w:rFonts w:ascii="Verdana" w:hAnsi="Verdana" w:cstheme="minorHAnsi"/>
          <w:sz w:val="18"/>
          <w:szCs w:val="18"/>
        </w:rPr>
      </w:pPr>
      <w:r>
        <w:rPr>
          <w:rFonts w:ascii="Verdana" w:hAnsi="Verdana" w:cstheme="minorHAnsi"/>
          <w:sz w:val="18"/>
          <w:szCs w:val="18"/>
        </w:rPr>
        <w:t xml:space="preserve">O mestre </w:t>
      </w:r>
      <w:r w:rsidRPr="005051FD">
        <w:rPr>
          <w:rFonts w:ascii="Verdana" w:hAnsi="Verdana" w:cstheme="minorHAnsi"/>
          <w:sz w:val="18"/>
          <w:szCs w:val="18"/>
        </w:rPr>
        <w:t xml:space="preserve">Marçal </w:t>
      </w:r>
      <w:r w:rsidR="00FE292C">
        <w:rPr>
          <w:rFonts w:ascii="Verdana" w:hAnsi="Verdana" w:cstheme="minorHAnsi"/>
          <w:sz w:val="18"/>
          <w:szCs w:val="18"/>
        </w:rPr>
        <w:t>Justem Filho, in Comentários à Lei de Li</w:t>
      </w:r>
      <w:r w:rsidRPr="005051FD">
        <w:rPr>
          <w:rFonts w:ascii="Verdana" w:hAnsi="Verdana" w:cstheme="minorHAnsi"/>
          <w:sz w:val="18"/>
          <w:szCs w:val="18"/>
        </w:rPr>
        <w:t xml:space="preserve">citações e contratos administrativos, 13. </w:t>
      </w:r>
      <w:proofErr w:type="spellStart"/>
      <w:proofErr w:type="gramStart"/>
      <w:r w:rsidRPr="005051FD">
        <w:rPr>
          <w:rFonts w:ascii="Verdana" w:hAnsi="Verdana" w:cstheme="minorHAnsi"/>
          <w:sz w:val="18"/>
          <w:szCs w:val="18"/>
        </w:rPr>
        <w:t>ed</w:t>
      </w:r>
      <w:proofErr w:type="spellEnd"/>
      <w:proofErr w:type="gramEnd"/>
      <w:r w:rsidRPr="005051FD">
        <w:rPr>
          <w:rFonts w:ascii="Verdana" w:hAnsi="Verdana" w:cstheme="minorHAnsi"/>
          <w:sz w:val="18"/>
          <w:szCs w:val="18"/>
        </w:rPr>
        <w:t xml:space="preserve">, p. 76, ao tratar do princípio da proporcionalidade ensina, in </w:t>
      </w:r>
      <w:proofErr w:type="spellStart"/>
      <w:r w:rsidRPr="005051FD">
        <w:rPr>
          <w:rFonts w:ascii="Verdana" w:hAnsi="Verdana" w:cstheme="minorHAnsi"/>
          <w:sz w:val="18"/>
          <w:szCs w:val="18"/>
        </w:rPr>
        <w:t>verbis</w:t>
      </w:r>
      <w:proofErr w:type="spellEnd"/>
      <w:r w:rsidRPr="005051FD">
        <w:rPr>
          <w:rFonts w:ascii="Verdana" w:hAnsi="Verdana" w:cstheme="minorHAnsi"/>
          <w:sz w:val="18"/>
          <w:szCs w:val="18"/>
        </w:rPr>
        <w:t>:</w:t>
      </w:r>
    </w:p>
    <w:p w:rsidR="009333E0" w:rsidRDefault="005051FD" w:rsidP="005051FD">
      <w:pPr>
        <w:spacing w:beforeAutospacing="1" w:after="100" w:afterAutospacing="1" w:line="240" w:lineRule="auto"/>
        <w:ind w:left="2127"/>
        <w:jc w:val="both"/>
        <w:rPr>
          <w:rFonts w:ascii="Verdana" w:hAnsi="Verdana" w:cstheme="minorHAnsi"/>
          <w:sz w:val="18"/>
          <w:szCs w:val="18"/>
        </w:rPr>
      </w:pPr>
      <w:r w:rsidRPr="005051FD">
        <w:rPr>
          <w:rFonts w:ascii="Verdana" w:hAnsi="Verdana" w:cstheme="minorHAnsi"/>
          <w:sz w:val="18"/>
          <w:szCs w:val="18"/>
        </w:rPr>
        <w:t>"</w:t>
      </w:r>
      <w:r w:rsidRPr="005051FD">
        <w:rPr>
          <w:rFonts w:ascii="Verdana" w:hAnsi="Verdana" w:cstheme="minorHAnsi"/>
          <w:i/>
          <w:sz w:val="18"/>
          <w:szCs w:val="18"/>
        </w:rPr>
        <w:t>O princípio da proporcionalidade restringe o exercício das competências públicas, proibindo o excesso. A medida limite é a salvaguarda dos interesses públicos e privados em jogo. Incumbe ao Estado adotar a medida menos danosa possível, através da compatibilização entre os interesses sacrificados e aqueles que se pretende proteger. Os princípios da proporcionalidade e da razoabilidade acarretam a impossibilidade de impor consequências de severidade incompatível com a irrelevância de defeitos. Sob esse ângulo, as exigências da lei ou do Edital devem ser interpretadas como instrumentais</w:t>
      </w:r>
      <w:r w:rsidRPr="005051FD">
        <w:rPr>
          <w:rFonts w:ascii="Verdana" w:hAnsi="Verdana" w:cstheme="minorHAnsi"/>
          <w:sz w:val="18"/>
          <w:szCs w:val="18"/>
        </w:rPr>
        <w:t>."</w:t>
      </w:r>
    </w:p>
    <w:p w:rsidR="004D6D6B" w:rsidRDefault="004D6D6B" w:rsidP="004D6D6B">
      <w:pPr>
        <w:spacing w:beforeAutospacing="1" w:after="100" w:afterAutospacing="1" w:line="240" w:lineRule="auto"/>
        <w:ind w:firstLine="2127"/>
        <w:jc w:val="both"/>
        <w:rPr>
          <w:rFonts w:ascii="Verdana" w:hAnsi="Verdana" w:cstheme="minorHAnsi"/>
          <w:sz w:val="18"/>
          <w:szCs w:val="18"/>
        </w:rPr>
      </w:pPr>
      <w:r>
        <w:rPr>
          <w:rFonts w:ascii="Verdana" w:hAnsi="Verdana" w:cstheme="minorHAnsi"/>
          <w:sz w:val="18"/>
          <w:szCs w:val="18"/>
        </w:rPr>
        <w:lastRenderedPageBreak/>
        <w:t>A doutrina também conclui</w:t>
      </w:r>
      <w:r w:rsidR="005051FD" w:rsidRPr="005051FD">
        <w:rPr>
          <w:rFonts w:ascii="Verdana" w:hAnsi="Verdana" w:cstheme="minorHAnsi"/>
          <w:sz w:val="18"/>
          <w:szCs w:val="18"/>
        </w:rPr>
        <w:t xml:space="preserve"> que eventuais erros de natureza formal,</w:t>
      </w:r>
      <w:r w:rsidR="005051FD">
        <w:rPr>
          <w:rFonts w:ascii="Verdana" w:hAnsi="Verdana" w:cstheme="minorHAnsi"/>
          <w:sz w:val="18"/>
          <w:szCs w:val="18"/>
        </w:rPr>
        <w:t xml:space="preserve"> quando da elaboração </w:t>
      </w:r>
      <w:r w:rsidR="005051FD" w:rsidRPr="005051FD">
        <w:rPr>
          <w:rFonts w:ascii="Verdana" w:hAnsi="Verdana" w:cstheme="minorHAnsi"/>
          <w:sz w:val="18"/>
          <w:szCs w:val="18"/>
        </w:rPr>
        <w:t xml:space="preserve">da proposta não devem implicar na </w:t>
      </w:r>
      <w:r w:rsidR="005051FD">
        <w:rPr>
          <w:rFonts w:ascii="Verdana" w:hAnsi="Verdana" w:cstheme="minorHAnsi"/>
          <w:sz w:val="18"/>
          <w:szCs w:val="18"/>
        </w:rPr>
        <w:t>desclassificação</w:t>
      </w:r>
      <w:r w:rsidR="005051FD" w:rsidRPr="005051FD">
        <w:rPr>
          <w:rFonts w:ascii="Verdana" w:hAnsi="Verdana" w:cstheme="minorHAnsi"/>
          <w:sz w:val="18"/>
          <w:szCs w:val="18"/>
        </w:rPr>
        <w:t xml:space="preserve"> automática do licitante. Muito pelo contrário, uma vez verificado o equívoco na proposta da licitante, deve o órgão licitante conceder prazo para a regularização do erro, possibilitando, assim, o ajuste da proposta apresentada.</w:t>
      </w:r>
    </w:p>
    <w:p w:rsidR="005051FD" w:rsidRPr="005051FD" w:rsidRDefault="005051FD" w:rsidP="005051FD">
      <w:pPr>
        <w:spacing w:beforeAutospacing="1" w:after="100" w:afterAutospacing="1" w:line="240" w:lineRule="auto"/>
        <w:ind w:firstLine="2268"/>
        <w:jc w:val="both"/>
        <w:rPr>
          <w:rFonts w:ascii="Verdana" w:hAnsi="Verdana" w:cstheme="minorHAnsi"/>
          <w:sz w:val="18"/>
          <w:szCs w:val="18"/>
        </w:rPr>
      </w:pPr>
      <w:r w:rsidRPr="005051FD">
        <w:rPr>
          <w:rFonts w:ascii="Verdana" w:hAnsi="Verdana" w:cstheme="minorHAnsi"/>
          <w:sz w:val="18"/>
          <w:szCs w:val="18"/>
        </w:rPr>
        <w:t>O Tribunal de Contas da União possui diversos Enunciados neste sentido:</w:t>
      </w:r>
    </w:p>
    <w:p w:rsidR="005051FD" w:rsidRDefault="005051FD" w:rsidP="005051FD">
      <w:pPr>
        <w:spacing w:beforeAutospacing="1" w:after="100" w:afterAutospacing="1" w:line="240" w:lineRule="auto"/>
        <w:ind w:left="2268"/>
        <w:jc w:val="both"/>
        <w:rPr>
          <w:rFonts w:ascii="Verdana" w:hAnsi="Verdana" w:cstheme="minorHAnsi"/>
          <w:sz w:val="18"/>
          <w:szCs w:val="18"/>
        </w:rPr>
      </w:pPr>
      <w:r>
        <w:rPr>
          <w:rFonts w:ascii="Verdana" w:hAnsi="Verdana" w:cstheme="minorHAnsi"/>
          <w:sz w:val="18"/>
          <w:szCs w:val="18"/>
        </w:rPr>
        <w:t>“</w:t>
      </w:r>
      <w:r w:rsidRPr="005051FD">
        <w:rPr>
          <w:rFonts w:ascii="Verdana" w:hAnsi="Verdana" w:cstheme="minorHAnsi"/>
          <w:i/>
          <w:sz w:val="18"/>
          <w:szCs w:val="18"/>
        </w:rPr>
        <w:t>No curso de procedimentos licitatórios, a Administração Pública deve pautar-se pelo princípio do formalismo moderado, que prescreve a adoção de formas simples e suficientes para propiciar adequado grau de certeza, segurança e respeito aos direitos dos administrados, promovendo, assim, a prevalência do conteúdo sobre o formalismo extremo, respeitadas, ainda, as praxes essenciais à proteção das prerrogativas dos administrados. (TCU no acórdão 357/2015-</w:t>
      </w:r>
      <w:proofErr w:type="gramStart"/>
      <w:r w:rsidRPr="005051FD">
        <w:rPr>
          <w:rFonts w:ascii="Verdana" w:hAnsi="Verdana" w:cstheme="minorHAnsi"/>
          <w:i/>
          <w:sz w:val="18"/>
          <w:szCs w:val="18"/>
        </w:rPr>
        <w:t>Plenário)”</w:t>
      </w:r>
      <w:proofErr w:type="gramEnd"/>
      <w:r w:rsidRPr="005051FD">
        <w:rPr>
          <w:rFonts w:ascii="Verdana" w:hAnsi="Verdana" w:cstheme="minorHAnsi"/>
          <w:i/>
          <w:sz w:val="18"/>
          <w:szCs w:val="18"/>
        </w:rPr>
        <w:t>.</w:t>
      </w:r>
    </w:p>
    <w:p w:rsidR="005051FD" w:rsidRPr="005051FD" w:rsidRDefault="005051FD" w:rsidP="005051FD">
      <w:pPr>
        <w:spacing w:beforeAutospacing="1" w:after="100" w:afterAutospacing="1" w:line="240" w:lineRule="auto"/>
        <w:ind w:left="2268"/>
        <w:jc w:val="both"/>
        <w:rPr>
          <w:rFonts w:ascii="Verdana" w:hAnsi="Verdana" w:cstheme="minorHAnsi"/>
          <w:i/>
          <w:sz w:val="18"/>
          <w:szCs w:val="18"/>
        </w:rPr>
      </w:pPr>
      <w:r>
        <w:rPr>
          <w:rFonts w:ascii="Verdana" w:hAnsi="Verdana" w:cstheme="minorHAnsi"/>
          <w:i/>
          <w:sz w:val="18"/>
          <w:szCs w:val="18"/>
        </w:rPr>
        <w:t>“</w:t>
      </w:r>
      <w:r w:rsidRPr="005051FD">
        <w:rPr>
          <w:rFonts w:ascii="Verdana" w:hAnsi="Verdana" w:cstheme="minorHAnsi"/>
          <w:i/>
          <w:sz w:val="18"/>
          <w:szCs w:val="18"/>
        </w:rPr>
        <w:t>A existência de erros materiais ou de omissões nas planilhas de custos e preços das licitantes não enseja a desclassificação antecipada das respectivas propostas, devendo a Administração contratante realizar diligências junto às licitantes para a devida correção das falhas, desde que não seja alterado o valor global proposto. Cabe à licitante suportar o ônus decorrente do seu erro, no caso de a Administração considerar exequível a proposta apresentada. (Acórdão 2546/2015-</w:t>
      </w:r>
      <w:proofErr w:type="gramStart"/>
      <w:r w:rsidRPr="005051FD">
        <w:rPr>
          <w:rFonts w:ascii="Verdana" w:hAnsi="Verdana" w:cstheme="minorHAnsi"/>
          <w:i/>
          <w:sz w:val="18"/>
          <w:szCs w:val="18"/>
        </w:rPr>
        <w:t>Plenário)</w:t>
      </w:r>
      <w:r>
        <w:rPr>
          <w:rFonts w:ascii="Verdana" w:hAnsi="Verdana" w:cstheme="minorHAnsi"/>
          <w:i/>
          <w:sz w:val="18"/>
          <w:szCs w:val="18"/>
        </w:rPr>
        <w:t>”</w:t>
      </w:r>
      <w:proofErr w:type="gramEnd"/>
      <w:r w:rsidRPr="005051FD">
        <w:rPr>
          <w:rFonts w:ascii="Verdana" w:hAnsi="Verdana" w:cstheme="minorHAnsi"/>
          <w:i/>
          <w:sz w:val="18"/>
          <w:szCs w:val="18"/>
        </w:rPr>
        <w:t>.</w:t>
      </w:r>
    </w:p>
    <w:p w:rsidR="005051FD" w:rsidRPr="005051FD" w:rsidRDefault="005051FD" w:rsidP="005051FD">
      <w:pPr>
        <w:spacing w:beforeAutospacing="1" w:after="100" w:afterAutospacing="1" w:line="240" w:lineRule="auto"/>
        <w:ind w:left="2268"/>
        <w:jc w:val="both"/>
        <w:rPr>
          <w:rFonts w:ascii="Verdana" w:hAnsi="Verdana" w:cstheme="minorHAnsi"/>
          <w:i/>
          <w:sz w:val="18"/>
          <w:szCs w:val="18"/>
        </w:rPr>
      </w:pPr>
      <w:r w:rsidRPr="005051FD">
        <w:rPr>
          <w:rFonts w:ascii="Verdana" w:hAnsi="Verdana" w:cstheme="minorHAnsi"/>
          <w:i/>
          <w:sz w:val="18"/>
          <w:szCs w:val="18"/>
        </w:rPr>
        <w:t>Licitação. Julgamento. Erros materiais. É possível o aproveitamento de propostas com erros materiais sanáveis, que não prejudicam o teor das ofertas, uma vez que isso não se mostra danoso ao interesse público ou aos princípios da isonomia e da razoabilidade. (Acórdão 187/2014 Plenário - Representação, Relator Ministro Valmir Campelo)</w:t>
      </w:r>
      <w:r>
        <w:rPr>
          <w:rFonts w:ascii="Verdana" w:hAnsi="Verdana" w:cstheme="minorHAnsi"/>
          <w:i/>
          <w:sz w:val="18"/>
          <w:szCs w:val="18"/>
        </w:rPr>
        <w:t>.</w:t>
      </w:r>
      <w:r w:rsidRPr="005051FD">
        <w:rPr>
          <w:rFonts w:ascii="Verdana" w:hAnsi="Verdana" w:cstheme="minorHAnsi"/>
          <w:i/>
          <w:sz w:val="18"/>
          <w:szCs w:val="18"/>
        </w:rPr>
        <w:t xml:space="preserve"> </w:t>
      </w:r>
    </w:p>
    <w:p w:rsidR="005051FD" w:rsidRPr="005051FD" w:rsidRDefault="005051FD" w:rsidP="005051FD">
      <w:pPr>
        <w:spacing w:beforeAutospacing="1" w:after="100" w:afterAutospacing="1" w:line="240" w:lineRule="auto"/>
        <w:ind w:left="2268"/>
        <w:jc w:val="both"/>
        <w:rPr>
          <w:rFonts w:ascii="Verdana" w:hAnsi="Verdana" w:cstheme="minorHAnsi"/>
          <w:i/>
          <w:sz w:val="18"/>
          <w:szCs w:val="18"/>
        </w:rPr>
      </w:pPr>
      <w:r w:rsidRPr="005051FD">
        <w:rPr>
          <w:rFonts w:ascii="Verdana" w:hAnsi="Verdana" w:cstheme="minorHAnsi"/>
          <w:i/>
          <w:sz w:val="18"/>
          <w:szCs w:val="18"/>
        </w:rPr>
        <w:t>Não restando configurada a lesão à obtenção da melhor proposta, não se configura a nulidade do ato. Erro no preenchimento da planilha de formação de preço do licitante não constitui motivo suficiente para a desclassificação da proposta, quando a planilha puder ser ajustada sem a necessidade de majoração do preço ofertado. (Acórdão 1811/2014-Plenário)</w:t>
      </w:r>
    </w:p>
    <w:p w:rsidR="005051FD" w:rsidRPr="00070A62" w:rsidRDefault="005051FD" w:rsidP="00070A62">
      <w:pPr>
        <w:spacing w:beforeAutospacing="1" w:after="100" w:afterAutospacing="1" w:line="240" w:lineRule="auto"/>
        <w:ind w:left="2268"/>
        <w:jc w:val="both"/>
        <w:rPr>
          <w:rFonts w:ascii="Verdana" w:hAnsi="Verdana" w:cstheme="minorHAnsi"/>
          <w:i/>
          <w:sz w:val="18"/>
          <w:szCs w:val="18"/>
        </w:rPr>
      </w:pPr>
      <w:r w:rsidRPr="00070A62">
        <w:rPr>
          <w:rFonts w:ascii="Verdana" w:hAnsi="Verdana" w:cstheme="minorHAnsi"/>
          <w:i/>
          <w:sz w:val="18"/>
          <w:szCs w:val="18"/>
        </w:rPr>
        <w:t>Falhas meramente formais, sanáveis durante o processo licitatório, não devem levar à desclassificação de licitante. (Acórdão 2872/2010-Plenário)</w:t>
      </w:r>
    </w:p>
    <w:p w:rsidR="00070A62" w:rsidRDefault="00070A62" w:rsidP="00070A62">
      <w:pPr>
        <w:spacing w:beforeAutospacing="1" w:after="100" w:afterAutospacing="1" w:line="240" w:lineRule="auto"/>
        <w:ind w:firstLine="2268"/>
        <w:jc w:val="both"/>
        <w:rPr>
          <w:rFonts w:ascii="Verdana" w:hAnsi="Verdana" w:cstheme="minorHAnsi"/>
          <w:sz w:val="18"/>
          <w:szCs w:val="18"/>
        </w:rPr>
      </w:pPr>
      <w:r>
        <w:rPr>
          <w:rFonts w:ascii="Verdana" w:hAnsi="Verdana" w:cstheme="minorHAnsi"/>
          <w:sz w:val="18"/>
          <w:szCs w:val="18"/>
        </w:rPr>
        <w:t xml:space="preserve">Face ao exposto, </w:t>
      </w:r>
      <w:r w:rsidR="00AC4E8E">
        <w:rPr>
          <w:rFonts w:ascii="Verdana" w:hAnsi="Verdana" w:cstheme="minorHAnsi"/>
          <w:sz w:val="18"/>
          <w:szCs w:val="18"/>
        </w:rPr>
        <w:t xml:space="preserve">reformo </w:t>
      </w:r>
      <w:r>
        <w:rPr>
          <w:rFonts w:ascii="Verdana" w:hAnsi="Verdana" w:cstheme="minorHAnsi"/>
          <w:sz w:val="18"/>
          <w:szCs w:val="18"/>
        </w:rPr>
        <w:t xml:space="preserve">a </w:t>
      </w:r>
      <w:r w:rsidR="00AC4E8E">
        <w:rPr>
          <w:rFonts w:ascii="Verdana" w:hAnsi="Verdana" w:cstheme="minorHAnsi"/>
          <w:sz w:val="18"/>
          <w:szCs w:val="18"/>
        </w:rPr>
        <w:t xml:space="preserve">decisão da </w:t>
      </w:r>
      <w:r>
        <w:rPr>
          <w:rFonts w:ascii="Verdana" w:hAnsi="Verdana" w:cstheme="minorHAnsi"/>
          <w:sz w:val="18"/>
          <w:szCs w:val="18"/>
        </w:rPr>
        <w:t xml:space="preserve">Comissão Permanente de Licitações, reclassificando as empresas </w:t>
      </w:r>
      <w:r w:rsidRPr="003A030F">
        <w:rPr>
          <w:rFonts w:ascii="Verdana" w:hAnsi="Verdana" w:cstheme="minorHAnsi"/>
          <w:sz w:val="18"/>
          <w:szCs w:val="18"/>
        </w:rPr>
        <w:t>PEMCEL, PROJETOS DE ENGENHARIA, CONSTRUÇÃO CIVIL, ENGENHARIA E LOCAÇÃO LTDA – EPP</w:t>
      </w:r>
      <w:r>
        <w:rPr>
          <w:rFonts w:ascii="Verdana" w:hAnsi="Verdana" w:cstheme="minorHAnsi"/>
          <w:sz w:val="18"/>
          <w:szCs w:val="18"/>
        </w:rPr>
        <w:t xml:space="preserve">, </w:t>
      </w:r>
      <w:r w:rsidRPr="00360D49">
        <w:rPr>
          <w:rFonts w:ascii="Verdana" w:hAnsi="Verdana" w:cstheme="minorHAnsi"/>
          <w:sz w:val="18"/>
          <w:szCs w:val="18"/>
        </w:rPr>
        <w:t>EHP ENGENHARIA EIRELI – ME</w:t>
      </w:r>
      <w:r>
        <w:rPr>
          <w:rFonts w:ascii="Verdana" w:hAnsi="Verdana" w:cstheme="minorHAnsi"/>
          <w:sz w:val="18"/>
          <w:szCs w:val="18"/>
        </w:rPr>
        <w:t xml:space="preserve"> e </w:t>
      </w:r>
      <w:r w:rsidRPr="00360D49">
        <w:rPr>
          <w:rFonts w:ascii="Verdana" w:hAnsi="Verdana" w:cstheme="minorHAnsi"/>
          <w:sz w:val="18"/>
          <w:szCs w:val="18"/>
        </w:rPr>
        <w:t>ZANATTA ENGENHARIA LTDA – EPP</w:t>
      </w:r>
      <w:r>
        <w:rPr>
          <w:rFonts w:ascii="Verdana" w:hAnsi="Verdana" w:cstheme="minorHAnsi"/>
          <w:sz w:val="18"/>
          <w:szCs w:val="18"/>
        </w:rPr>
        <w:t xml:space="preserve"> no certame.</w:t>
      </w:r>
    </w:p>
    <w:p w:rsidR="00070A62" w:rsidRDefault="00070A62" w:rsidP="00070A62">
      <w:pPr>
        <w:spacing w:beforeAutospacing="1" w:after="100" w:afterAutospacing="1" w:line="240" w:lineRule="auto"/>
        <w:ind w:firstLine="2268"/>
        <w:jc w:val="both"/>
        <w:rPr>
          <w:rFonts w:ascii="Verdana" w:hAnsi="Verdana" w:cstheme="minorHAnsi"/>
          <w:sz w:val="18"/>
          <w:szCs w:val="18"/>
        </w:rPr>
      </w:pPr>
      <w:r>
        <w:rPr>
          <w:rFonts w:ascii="Verdana" w:hAnsi="Verdana" w:cstheme="minorHAnsi"/>
          <w:sz w:val="18"/>
          <w:szCs w:val="18"/>
        </w:rPr>
        <w:t xml:space="preserve">Tendo em vista que o menor preço foi ofertado pela empresa </w:t>
      </w:r>
      <w:r w:rsidRPr="003A030F">
        <w:rPr>
          <w:rFonts w:ascii="Verdana" w:hAnsi="Verdana" w:cstheme="minorHAnsi"/>
          <w:sz w:val="18"/>
          <w:szCs w:val="18"/>
        </w:rPr>
        <w:t>PEMCEL, PROJETOS DE ENGENHARIA, CONSTRUÇÃO CIVIL, ENGENHARIA E LOCAÇÃO LTDA – EPP</w:t>
      </w:r>
      <w:r>
        <w:rPr>
          <w:rFonts w:ascii="Verdana" w:hAnsi="Verdana" w:cstheme="minorHAnsi"/>
          <w:sz w:val="18"/>
          <w:szCs w:val="18"/>
        </w:rPr>
        <w:t xml:space="preserve">, concede-se à mesma, o prazo de </w:t>
      </w:r>
      <w:r w:rsidR="00B65FF1">
        <w:rPr>
          <w:rFonts w:ascii="Verdana" w:hAnsi="Verdana" w:cstheme="minorHAnsi"/>
          <w:sz w:val="18"/>
          <w:szCs w:val="18"/>
        </w:rPr>
        <w:t>0</w:t>
      </w:r>
      <w:r w:rsidR="00B6199B">
        <w:rPr>
          <w:rFonts w:ascii="Verdana" w:hAnsi="Verdana" w:cstheme="minorHAnsi"/>
          <w:sz w:val="18"/>
          <w:szCs w:val="18"/>
        </w:rPr>
        <w:t>3</w:t>
      </w:r>
      <w:r w:rsidR="00B65FF1">
        <w:rPr>
          <w:rFonts w:ascii="Verdana" w:hAnsi="Verdana" w:cstheme="minorHAnsi"/>
          <w:sz w:val="18"/>
          <w:szCs w:val="18"/>
        </w:rPr>
        <w:t xml:space="preserve"> (</w:t>
      </w:r>
      <w:r w:rsidR="00B6199B">
        <w:rPr>
          <w:rFonts w:ascii="Verdana" w:hAnsi="Verdana" w:cstheme="minorHAnsi"/>
          <w:sz w:val="18"/>
          <w:szCs w:val="18"/>
        </w:rPr>
        <w:t>TRÊS</w:t>
      </w:r>
      <w:r w:rsidR="00B65FF1">
        <w:rPr>
          <w:rFonts w:ascii="Verdana" w:hAnsi="Verdana" w:cstheme="minorHAnsi"/>
          <w:sz w:val="18"/>
          <w:szCs w:val="18"/>
        </w:rPr>
        <w:t>)</w:t>
      </w:r>
      <w:r>
        <w:rPr>
          <w:rFonts w:ascii="Verdana" w:hAnsi="Verdana" w:cstheme="minorHAnsi"/>
          <w:sz w:val="18"/>
          <w:szCs w:val="18"/>
        </w:rPr>
        <w:t xml:space="preserve"> dias úteis</w:t>
      </w:r>
      <w:r w:rsidR="00B6199B">
        <w:rPr>
          <w:rFonts w:ascii="Verdana" w:hAnsi="Verdana" w:cstheme="minorHAnsi"/>
          <w:sz w:val="18"/>
          <w:szCs w:val="18"/>
        </w:rPr>
        <w:t>, a contar do dia 04 de janeiro de 2021, tendo em vista o recesso municipal de final de ano,</w:t>
      </w:r>
      <w:r w:rsidR="00850940">
        <w:rPr>
          <w:rFonts w:ascii="Verdana" w:hAnsi="Verdana" w:cstheme="minorHAnsi"/>
          <w:sz w:val="18"/>
          <w:szCs w:val="18"/>
        </w:rPr>
        <w:t xml:space="preserve"> do dia 24 de dezembro de 2020 ao dia 03 de janeiro de 2021,</w:t>
      </w:r>
      <w:r>
        <w:rPr>
          <w:rFonts w:ascii="Verdana" w:hAnsi="Verdana" w:cstheme="minorHAnsi"/>
          <w:sz w:val="18"/>
          <w:szCs w:val="18"/>
        </w:rPr>
        <w:t xml:space="preserve"> para que apresente sua proposta devidamente corrigida, sem prejuízo do valor apresentado.</w:t>
      </w:r>
    </w:p>
    <w:p w:rsidR="008442EE" w:rsidRPr="00D22E1F" w:rsidRDefault="008442EE" w:rsidP="00563347">
      <w:pPr>
        <w:spacing w:after="120"/>
        <w:ind w:firstLine="1701"/>
        <w:jc w:val="both"/>
        <w:rPr>
          <w:rFonts w:eastAsia="Times New Roman" w:cstheme="minorHAnsi"/>
          <w:lang w:eastAsia="pt-BR"/>
        </w:rPr>
      </w:pPr>
    </w:p>
    <w:p w:rsidR="00563347" w:rsidRPr="00B639B6" w:rsidRDefault="00B639B6" w:rsidP="00B639B6">
      <w:pPr>
        <w:spacing w:after="120"/>
        <w:jc w:val="center"/>
        <w:rPr>
          <w:rFonts w:eastAsia="Times New Roman" w:cstheme="minorHAnsi"/>
          <w:i/>
          <w:lang w:eastAsia="pt-BR"/>
        </w:rPr>
      </w:pPr>
      <w:r w:rsidRPr="00B639B6">
        <w:rPr>
          <w:rFonts w:eastAsia="Times New Roman" w:cstheme="minorHAnsi"/>
          <w:i/>
          <w:lang w:eastAsia="pt-BR"/>
        </w:rPr>
        <w:t>Assinado no Original</w:t>
      </w:r>
    </w:p>
    <w:p w:rsidR="00563347" w:rsidRPr="00AC4E8E" w:rsidRDefault="00AC4E8E" w:rsidP="00563347">
      <w:pPr>
        <w:spacing w:before="0" w:after="0" w:line="240" w:lineRule="auto"/>
        <w:jc w:val="center"/>
        <w:rPr>
          <w:rFonts w:eastAsia="Times New Roman" w:cstheme="minorHAnsi"/>
          <w:b/>
          <w:sz w:val="28"/>
          <w:szCs w:val="28"/>
          <w:lang w:eastAsia="pt-BR"/>
        </w:rPr>
      </w:pPr>
      <w:r w:rsidRPr="00AC4E8E">
        <w:rPr>
          <w:rFonts w:eastAsia="Times New Roman" w:cstheme="minorHAnsi"/>
          <w:b/>
          <w:sz w:val="28"/>
          <w:szCs w:val="28"/>
          <w:lang w:eastAsia="pt-BR"/>
        </w:rPr>
        <w:t>JULIANA PICOLI AGATTE</w:t>
      </w:r>
    </w:p>
    <w:p w:rsidR="00AC4E8E" w:rsidRPr="00AC4E8E" w:rsidRDefault="00AC4E8E" w:rsidP="00563347">
      <w:pPr>
        <w:spacing w:before="0" w:after="0" w:line="240" w:lineRule="auto"/>
        <w:jc w:val="center"/>
        <w:rPr>
          <w:rFonts w:eastAsia="Times New Roman" w:cstheme="minorHAnsi"/>
          <w:sz w:val="28"/>
          <w:szCs w:val="28"/>
          <w:lang w:eastAsia="pt-BR"/>
        </w:rPr>
      </w:pPr>
      <w:r w:rsidRPr="00AC4E8E">
        <w:rPr>
          <w:rFonts w:eastAsia="Times New Roman" w:cstheme="minorHAnsi"/>
          <w:sz w:val="28"/>
          <w:szCs w:val="28"/>
          <w:lang w:eastAsia="pt-BR"/>
        </w:rPr>
        <w:t>Secretária de Gestão e Finanças</w:t>
      </w:r>
    </w:p>
    <w:sectPr w:rsidR="00AC4E8E" w:rsidRPr="00AC4E8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B8" w:rsidRDefault="00D15AB8" w:rsidP="00C656AE">
      <w:pPr>
        <w:spacing w:after="0" w:line="240" w:lineRule="auto"/>
      </w:pPr>
      <w:r>
        <w:separator/>
      </w:r>
    </w:p>
  </w:endnote>
  <w:endnote w:type="continuationSeparator" w:id="0">
    <w:p w:rsidR="00D15AB8" w:rsidRDefault="00D15AB8" w:rsidP="00C6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B8" w:rsidRDefault="00D15AB8" w:rsidP="00C656AE">
      <w:pPr>
        <w:spacing w:after="0" w:line="240" w:lineRule="auto"/>
      </w:pPr>
      <w:r>
        <w:separator/>
      </w:r>
    </w:p>
  </w:footnote>
  <w:footnote w:type="continuationSeparator" w:id="0">
    <w:p w:rsidR="00D15AB8" w:rsidRDefault="00D15AB8" w:rsidP="00C65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AE" w:rsidRDefault="00C656AE" w:rsidP="00C656AE">
    <w:pPr>
      <w:pStyle w:val="Cabealho"/>
      <w:jc w:val="center"/>
      <w:rPr>
        <w:smallCaps/>
        <w:color w:val="000000"/>
        <w:sz w:val="34"/>
        <w:szCs w:val="34"/>
      </w:rPr>
    </w:pPr>
    <w:r>
      <w:rPr>
        <w:smallCaps/>
        <w:noProof/>
        <w:color w:val="000000"/>
        <w:sz w:val="34"/>
        <w:szCs w:val="34"/>
        <w:lang w:eastAsia="pt-BR"/>
      </w:rPr>
      <w:drawing>
        <wp:anchor distT="0" distB="0" distL="114300" distR="114300" simplePos="0" relativeHeight="251659264" behindDoc="0" locked="0" layoutInCell="1" allowOverlap="1">
          <wp:simplePos x="0" y="0"/>
          <wp:positionH relativeFrom="margin">
            <wp:align>center</wp:align>
          </wp:positionH>
          <wp:positionV relativeFrom="paragraph">
            <wp:posOffset>-201930</wp:posOffset>
          </wp:positionV>
          <wp:extent cx="790575" cy="771525"/>
          <wp:effectExtent l="0" t="0" r="9525"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C656AE" w:rsidRDefault="00C656AE" w:rsidP="00C656AE">
    <w:pPr>
      <w:pStyle w:val="Cabealho"/>
      <w:jc w:val="center"/>
      <w:rPr>
        <w:smallCaps/>
        <w:color w:val="000000"/>
        <w:sz w:val="28"/>
        <w:szCs w:val="28"/>
      </w:rPr>
    </w:pPr>
  </w:p>
  <w:p w:rsidR="00C656AE" w:rsidRPr="009852FD" w:rsidRDefault="00C656AE" w:rsidP="00C656AE">
    <w:pPr>
      <w:pStyle w:val="Cabealho"/>
      <w:jc w:val="center"/>
      <w:rPr>
        <w:smallCaps/>
        <w:color w:val="000000"/>
        <w:sz w:val="28"/>
        <w:szCs w:val="28"/>
      </w:rPr>
    </w:pPr>
    <w:r w:rsidRPr="009852FD">
      <w:rPr>
        <w:smallCaps/>
        <w:color w:val="000000"/>
        <w:sz w:val="28"/>
        <w:szCs w:val="28"/>
      </w:rPr>
      <w:t>Prefeitura Municipal de Araraquara</w:t>
    </w:r>
  </w:p>
  <w:p w:rsidR="00C656AE" w:rsidRPr="009852FD" w:rsidRDefault="00C656AE" w:rsidP="00C656AE">
    <w:pPr>
      <w:keepNext/>
      <w:widowControl w:val="0"/>
      <w:tabs>
        <w:tab w:val="left" w:pos="708"/>
      </w:tabs>
      <w:spacing w:after="0" w:line="240" w:lineRule="auto"/>
      <w:jc w:val="center"/>
      <w:outlineLvl w:val="3"/>
      <w:rPr>
        <w:rFonts w:ascii="Arial" w:hAnsi="Arial" w:cs="Arial"/>
        <w:b/>
        <w:bCs/>
        <w:color w:val="000080"/>
        <w:sz w:val="18"/>
        <w:szCs w:val="18"/>
      </w:rPr>
    </w:pPr>
    <w:r w:rsidRPr="009852FD">
      <w:rPr>
        <w:rFonts w:ascii="Arial" w:hAnsi="Arial" w:cs="Arial"/>
        <w:b/>
        <w:bCs/>
        <w:color w:val="000080"/>
        <w:sz w:val="18"/>
        <w:szCs w:val="18"/>
      </w:rPr>
      <w:t>SECRETARIA MUNICIPAL DE GESTÃO E FINANÇAS</w:t>
    </w:r>
  </w:p>
  <w:p w:rsidR="00C656AE" w:rsidRPr="00F144F5" w:rsidRDefault="00C656AE" w:rsidP="00C656AE">
    <w:pPr>
      <w:tabs>
        <w:tab w:val="center" w:pos="4419"/>
        <w:tab w:val="right" w:pos="8838"/>
      </w:tabs>
      <w:spacing w:after="0" w:line="240" w:lineRule="auto"/>
      <w:jc w:val="center"/>
      <w:rPr>
        <w:rFonts w:ascii="Arial" w:hAnsi="Arial" w:cs="Arial"/>
        <w:b/>
        <w:color w:val="000080"/>
      </w:rPr>
    </w:pPr>
    <w:r w:rsidRPr="009852FD">
      <w:rPr>
        <w:rFonts w:ascii="Arial" w:hAnsi="Arial" w:cs="Arial"/>
        <w:b/>
        <w:color w:val="000080"/>
        <w:sz w:val="18"/>
        <w:szCs w:val="18"/>
      </w:rPr>
      <w:t>GERÊNCIA DE LICITAÇÃO E CONTRATOS</w:t>
    </w:r>
  </w:p>
  <w:p w:rsidR="00C656AE" w:rsidRPr="009852FD" w:rsidRDefault="00C656AE" w:rsidP="00C656AE">
    <w:pPr>
      <w:spacing w:after="0" w:line="240" w:lineRule="auto"/>
      <w:jc w:val="center"/>
      <w:rPr>
        <w:rFonts w:ascii="Arial" w:hAnsi="Arial" w:cs="Arial"/>
        <w:b/>
        <w:color w:val="000080"/>
        <w:sz w:val="16"/>
        <w:szCs w:val="16"/>
      </w:rPr>
    </w:pPr>
    <w:r w:rsidRPr="009852FD">
      <w:rPr>
        <w:rFonts w:ascii="Arial" w:hAnsi="Arial" w:cs="Arial"/>
        <w:b/>
        <w:color w:val="000080"/>
        <w:sz w:val="16"/>
        <w:szCs w:val="16"/>
      </w:rPr>
      <w:t>Paço Municipal – Rua São Bento, 840 – centro – Cep.14.801.901 – Fone: (16) 3301-5116</w:t>
    </w:r>
    <w:r>
      <w:rPr>
        <w:rFonts w:ascii="Arial" w:hAnsi="Arial" w:cs="Arial"/>
        <w:b/>
        <w:color w:val="000080"/>
        <w:sz w:val="16"/>
        <w:szCs w:val="16"/>
      </w:rPr>
      <w:t xml:space="preserve"> / 3301-5170</w:t>
    </w:r>
    <w:r w:rsidRPr="009852FD">
      <w:rPr>
        <w:rFonts w:ascii="Arial" w:hAnsi="Arial" w:cs="Arial"/>
        <w:b/>
        <w:color w:val="000080"/>
        <w:sz w:val="16"/>
        <w:szCs w:val="16"/>
      </w:rPr>
      <w:t xml:space="preserve">     </w:t>
    </w:r>
  </w:p>
  <w:p w:rsidR="00C656AE" w:rsidRPr="009852FD" w:rsidRDefault="00C656AE" w:rsidP="00C656AE">
    <w:pPr>
      <w:spacing w:after="0" w:line="240" w:lineRule="auto"/>
      <w:jc w:val="center"/>
      <w:rPr>
        <w:sz w:val="16"/>
        <w:szCs w:val="16"/>
      </w:rPr>
    </w:pPr>
    <w:r w:rsidRPr="009852FD">
      <w:rPr>
        <w:rFonts w:ascii="Arial" w:hAnsi="Arial" w:cs="Arial"/>
        <w:b/>
        <w:color w:val="000080"/>
        <w:sz w:val="16"/>
        <w:szCs w:val="16"/>
      </w:rPr>
      <w:t xml:space="preserve">Site: </w:t>
    </w:r>
    <w:hyperlink r:id="rId2" w:history="1">
      <w:r w:rsidRPr="009852FD">
        <w:rPr>
          <w:rStyle w:val="Hyperlink"/>
          <w:rFonts w:ascii="Arial" w:hAnsi="Arial" w:cs="Arial"/>
          <w:sz w:val="16"/>
          <w:szCs w:val="16"/>
        </w:rPr>
        <w:t>http://www.araraquara.sp.gov.br/transparencia/licitacoes/</w:t>
      </w:r>
    </w:hyperlink>
    <w:r w:rsidRPr="009852FD">
      <w:rPr>
        <w:rFonts w:ascii="Arial" w:hAnsi="Arial" w:cs="Arial"/>
        <w:sz w:val="16"/>
        <w:szCs w:val="16"/>
      </w:rPr>
      <w:t xml:space="preserve"> </w:t>
    </w:r>
    <w:r w:rsidRPr="009852FD">
      <w:rPr>
        <w:rFonts w:ascii="Arial" w:hAnsi="Arial" w:cs="Arial"/>
        <w:b/>
        <w:color w:val="000080"/>
        <w:sz w:val="16"/>
        <w:szCs w:val="16"/>
      </w:rPr>
      <w:t xml:space="preserve">     E-mail: </w:t>
    </w:r>
    <w:hyperlink r:id="rId3" w:history="1">
      <w:r w:rsidRPr="009852FD">
        <w:rPr>
          <w:rStyle w:val="Hyperlink"/>
          <w:rFonts w:ascii="Arial" w:hAnsi="Arial" w:cs="Arial"/>
          <w:sz w:val="16"/>
          <w:szCs w:val="16"/>
        </w:rPr>
        <w:t>edital@araraquara.sp.gov.br</w:t>
      </w:r>
    </w:hyperlink>
    <w:r w:rsidRPr="009852FD">
      <w:rPr>
        <w:rFonts w:ascii="Arial" w:hAnsi="Arial" w:cs="Arial"/>
        <w:b/>
        <w:color w:val="000080"/>
        <w:sz w:val="16"/>
        <w:szCs w:val="16"/>
      </w:rPr>
      <w:t>.</w:t>
    </w:r>
  </w:p>
  <w:p w:rsidR="00C656AE" w:rsidRDefault="00C656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AA8"/>
    <w:multiLevelType w:val="hybridMultilevel"/>
    <w:tmpl w:val="9B14CE2A"/>
    <w:lvl w:ilvl="0" w:tplc="EF0E7316">
      <w:start w:val="1"/>
      <w:numFmt w:val="bullet"/>
      <w:lvlText w:val=""/>
      <w:lvlJc w:val="left"/>
      <w:pPr>
        <w:ind w:left="405" w:hanging="360"/>
      </w:pPr>
      <w:rPr>
        <w:rFonts w:ascii="Symbol" w:eastAsia="Times New Roman" w:hAnsi="Symbol" w:cstheme="minorHAnsi"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 w15:restartNumberingAfterBreak="0">
    <w:nsid w:val="18547DFE"/>
    <w:multiLevelType w:val="multilevel"/>
    <w:tmpl w:val="BEE29E0A"/>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D1ED3"/>
    <w:multiLevelType w:val="multilevel"/>
    <w:tmpl w:val="668206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A7764"/>
    <w:multiLevelType w:val="multilevel"/>
    <w:tmpl w:val="F9829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D548D"/>
    <w:multiLevelType w:val="multilevel"/>
    <w:tmpl w:val="E42E5A9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B3332"/>
    <w:multiLevelType w:val="multilevel"/>
    <w:tmpl w:val="98186956"/>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D7725"/>
    <w:multiLevelType w:val="multilevel"/>
    <w:tmpl w:val="47F610C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8C2BB8"/>
    <w:multiLevelType w:val="multilevel"/>
    <w:tmpl w:val="E686616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1B79CE"/>
    <w:multiLevelType w:val="multilevel"/>
    <w:tmpl w:val="3E0E12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016417"/>
    <w:multiLevelType w:val="multilevel"/>
    <w:tmpl w:val="2206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613B4"/>
    <w:multiLevelType w:val="hybridMultilevel"/>
    <w:tmpl w:val="167AB19A"/>
    <w:lvl w:ilvl="0" w:tplc="BD0886E8">
      <w:start w:val="1"/>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4"/>
  </w:num>
  <w:num w:numId="6">
    <w:abstractNumId w:val="7"/>
  </w:num>
  <w:num w:numId="7">
    <w:abstractNumId w:val="2"/>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F"/>
    <w:rsid w:val="000019FF"/>
    <w:rsid w:val="00025817"/>
    <w:rsid w:val="0003416C"/>
    <w:rsid w:val="00035F1A"/>
    <w:rsid w:val="00070A62"/>
    <w:rsid w:val="000922ED"/>
    <w:rsid w:val="00096CCA"/>
    <w:rsid w:val="000A4E2D"/>
    <w:rsid w:val="000D6D39"/>
    <w:rsid w:val="000F42DD"/>
    <w:rsid w:val="001105AF"/>
    <w:rsid w:val="00133696"/>
    <w:rsid w:val="001704EC"/>
    <w:rsid w:val="001D6C3F"/>
    <w:rsid w:val="001F2E9E"/>
    <w:rsid w:val="00201FB6"/>
    <w:rsid w:val="00237E83"/>
    <w:rsid w:val="00252620"/>
    <w:rsid w:val="002C4A19"/>
    <w:rsid w:val="00312CF2"/>
    <w:rsid w:val="00354CFA"/>
    <w:rsid w:val="00360D49"/>
    <w:rsid w:val="00364E3D"/>
    <w:rsid w:val="00365A24"/>
    <w:rsid w:val="00392CEF"/>
    <w:rsid w:val="003A030F"/>
    <w:rsid w:val="003A622E"/>
    <w:rsid w:val="003D3123"/>
    <w:rsid w:val="003D72AF"/>
    <w:rsid w:val="003F3A87"/>
    <w:rsid w:val="0047165D"/>
    <w:rsid w:val="00495BA9"/>
    <w:rsid w:val="004D6D6B"/>
    <w:rsid w:val="00500815"/>
    <w:rsid w:val="005051FD"/>
    <w:rsid w:val="00563347"/>
    <w:rsid w:val="005714EE"/>
    <w:rsid w:val="005D0B65"/>
    <w:rsid w:val="005D4AB3"/>
    <w:rsid w:val="0067065B"/>
    <w:rsid w:val="006C1392"/>
    <w:rsid w:val="00707090"/>
    <w:rsid w:val="0073148A"/>
    <w:rsid w:val="007D4839"/>
    <w:rsid w:val="008442EE"/>
    <w:rsid w:val="008508E8"/>
    <w:rsid w:val="00850940"/>
    <w:rsid w:val="008612B4"/>
    <w:rsid w:val="00874CEC"/>
    <w:rsid w:val="0088437E"/>
    <w:rsid w:val="008E39A9"/>
    <w:rsid w:val="008E6FEB"/>
    <w:rsid w:val="008F7F74"/>
    <w:rsid w:val="00930955"/>
    <w:rsid w:val="009333E0"/>
    <w:rsid w:val="009D025E"/>
    <w:rsid w:val="009D3FDD"/>
    <w:rsid w:val="009D7122"/>
    <w:rsid w:val="009E0DE3"/>
    <w:rsid w:val="009F64A4"/>
    <w:rsid w:val="00A97627"/>
    <w:rsid w:val="00AA1013"/>
    <w:rsid w:val="00AB2843"/>
    <w:rsid w:val="00AC4E8E"/>
    <w:rsid w:val="00AC61DD"/>
    <w:rsid w:val="00AF1843"/>
    <w:rsid w:val="00B6199B"/>
    <w:rsid w:val="00B639B6"/>
    <w:rsid w:val="00B65FF1"/>
    <w:rsid w:val="00C1604A"/>
    <w:rsid w:val="00C331C7"/>
    <w:rsid w:val="00C60373"/>
    <w:rsid w:val="00C63A71"/>
    <w:rsid w:val="00C656AE"/>
    <w:rsid w:val="00C7035E"/>
    <w:rsid w:val="00C96153"/>
    <w:rsid w:val="00CF0AC3"/>
    <w:rsid w:val="00D15AB8"/>
    <w:rsid w:val="00D22E1F"/>
    <w:rsid w:val="00D40E75"/>
    <w:rsid w:val="00D73432"/>
    <w:rsid w:val="00E348A7"/>
    <w:rsid w:val="00E46B4B"/>
    <w:rsid w:val="00E93DBD"/>
    <w:rsid w:val="00EC72A2"/>
    <w:rsid w:val="00ED39B3"/>
    <w:rsid w:val="00F139CD"/>
    <w:rsid w:val="00F43AD0"/>
    <w:rsid w:val="00F70EF9"/>
    <w:rsid w:val="00FB7121"/>
    <w:rsid w:val="00FE2631"/>
    <w:rsid w:val="00FE292C"/>
    <w:rsid w:val="00FF4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C55150E-1A3C-4224-847C-09DD2D0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92"/>
  </w:style>
  <w:style w:type="paragraph" w:styleId="Ttulo1">
    <w:name w:val="heading 1"/>
    <w:basedOn w:val="Normal"/>
    <w:next w:val="Normal"/>
    <w:link w:val="Ttulo1Char"/>
    <w:uiPriority w:val="9"/>
    <w:qFormat/>
    <w:rsid w:val="006C139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6C139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6C1392"/>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har"/>
    <w:uiPriority w:val="9"/>
    <w:semiHidden/>
    <w:unhideWhenUsed/>
    <w:qFormat/>
    <w:rsid w:val="006C1392"/>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har"/>
    <w:uiPriority w:val="9"/>
    <w:semiHidden/>
    <w:unhideWhenUsed/>
    <w:qFormat/>
    <w:rsid w:val="006C1392"/>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har"/>
    <w:uiPriority w:val="9"/>
    <w:semiHidden/>
    <w:unhideWhenUsed/>
    <w:qFormat/>
    <w:rsid w:val="006C1392"/>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har"/>
    <w:uiPriority w:val="9"/>
    <w:semiHidden/>
    <w:unhideWhenUsed/>
    <w:qFormat/>
    <w:rsid w:val="006C1392"/>
    <w:pPr>
      <w:spacing w:before="200" w:after="0"/>
      <w:outlineLvl w:val="6"/>
    </w:pPr>
    <w:rPr>
      <w:caps/>
      <w:color w:val="2E74B5" w:themeColor="accent1" w:themeShade="BF"/>
      <w:spacing w:val="10"/>
    </w:rPr>
  </w:style>
  <w:style w:type="paragraph" w:styleId="Ttulo8">
    <w:name w:val="heading 8"/>
    <w:basedOn w:val="Normal"/>
    <w:next w:val="Normal"/>
    <w:link w:val="Ttulo8Char"/>
    <w:uiPriority w:val="9"/>
    <w:semiHidden/>
    <w:unhideWhenUsed/>
    <w:qFormat/>
    <w:rsid w:val="006C1392"/>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6C1392"/>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2CEF"/>
    <w:pPr>
      <w:ind w:left="720"/>
      <w:contextualSpacing/>
    </w:pPr>
  </w:style>
  <w:style w:type="paragraph" w:styleId="Cabealho">
    <w:name w:val="header"/>
    <w:basedOn w:val="Normal"/>
    <w:link w:val="CabealhoChar"/>
    <w:uiPriority w:val="99"/>
    <w:unhideWhenUsed/>
    <w:rsid w:val="00C656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56AE"/>
  </w:style>
  <w:style w:type="paragraph" w:styleId="Rodap">
    <w:name w:val="footer"/>
    <w:basedOn w:val="Normal"/>
    <w:link w:val="RodapChar"/>
    <w:uiPriority w:val="99"/>
    <w:unhideWhenUsed/>
    <w:rsid w:val="00C656AE"/>
    <w:pPr>
      <w:tabs>
        <w:tab w:val="center" w:pos="4252"/>
        <w:tab w:val="right" w:pos="8504"/>
      </w:tabs>
      <w:spacing w:after="0" w:line="240" w:lineRule="auto"/>
    </w:pPr>
  </w:style>
  <w:style w:type="character" w:customStyle="1" w:styleId="RodapChar">
    <w:name w:val="Rodapé Char"/>
    <w:basedOn w:val="Fontepargpadro"/>
    <w:link w:val="Rodap"/>
    <w:uiPriority w:val="99"/>
    <w:rsid w:val="00C656AE"/>
  </w:style>
  <w:style w:type="character" w:styleId="Hyperlink">
    <w:name w:val="Hyperlink"/>
    <w:rsid w:val="00C656AE"/>
    <w:rPr>
      <w:color w:val="0000FF"/>
      <w:u w:val="single"/>
    </w:rPr>
  </w:style>
  <w:style w:type="paragraph" w:styleId="Textodebalo">
    <w:name w:val="Balloon Text"/>
    <w:basedOn w:val="Normal"/>
    <w:link w:val="TextodebaloChar"/>
    <w:uiPriority w:val="99"/>
    <w:semiHidden/>
    <w:unhideWhenUsed/>
    <w:rsid w:val="00F139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39CD"/>
    <w:rPr>
      <w:rFonts w:ascii="Segoe UI" w:hAnsi="Segoe UI" w:cs="Segoe UI"/>
      <w:sz w:val="18"/>
      <w:szCs w:val="18"/>
    </w:rPr>
  </w:style>
  <w:style w:type="character" w:customStyle="1" w:styleId="Ttulo2Char">
    <w:name w:val="Título 2 Char"/>
    <w:basedOn w:val="Fontepargpadro"/>
    <w:link w:val="Ttulo2"/>
    <w:uiPriority w:val="9"/>
    <w:rsid w:val="006C1392"/>
    <w:rPr>
      <w:caps/>
      <w:spacing w:val="15"/>
      <w:shd w:val="clear" w:color="auto" w:fill="DEEAF6" w:themeFill="accent1" w:themeFillTint="33"/>
    </w:rPr>
  </w:style>
  <w:style w:type="character" w:styleId="Forte">
    <w:name w:val="Strong"/>
    <w:uiPriority w:val="22"/>
    <w:qFormat/>
    <w:rsid w:val="006C1392"/>
    <w:rPr>
      <w:b/>
      <w:bCs/>
    </w:rPr>
  </w:style>
  <w:style w:type="character" w:customStyle="1" w:styleId="Ttulo1Char">
    <w:name w:val="Título 1 Char"/>
    <w:basedOn w:val="Fontepargpadro"/>
    <w:link w:val="Ttulo1"/>
    <w:uiPriority w:val="9"/>
    <w:rsid w:val="006C1392"/>
    <w:rPr>
      <w:caps/>
      <w:color w:val="FFFFFF" w:themeColor="background1"/>
      <w:spacing w:val="15"/>
      <w:sz w:val="22"/>
      <w:szCs w:val="22"/>
      <w:shd w:val="clear" w:color="auto" w:fill="5B9BD5" w:themeFill="accent1"/>
    </w:rPr>
  </w:style>
  <w:style w:type="character" w:customStyle="1" w:styleId="Ttulo3Char">
    <w:name w:val="Título 3 Char"/>
    <w:basedOn w:val="Fontepargpadro"/>
    <w:link w:val="Ttulo3"/>
    <w:uiPriority w:val="9"/>
    <w:semiHidden/>
    <w:rsid w:val="006C1392"/>
    <w:rPr>
      <w:caps/>
      <w:color w:val="1F4D78" w:themeColor="accent1" w:themeShade="7F"/>
      <w:spacing w:val="15"/>
    </w:rPr>
  </w:style>
  <w:style w:type="character" w:customStyle="1" w:styleId="Ttulo4Char">
    <w:name w:val="Título 4 Char"/>
    <w:basedOn w:val="Fontepargpadro"/>
    <w:link w:val="Ttulo4"/>
    <w:uiPriority w:val="9"/>
    <w:semiHidden/>
    <w:rsid w:val="006C1392"/>
    <w:rPr>
      <w:caps/>
      <w:color w:val="2E74B5" w:themeColor="accent1" w:themeShade="BF"/>
      <w:spacing w:val="10"/>
    </w:rPr>
  </w:style>
  <w:style w:type="character" w:customStyle="1" w:styleId="Ttulo5Char">
    <w:name w:val="Título 5 Char"/>
    <w:basedOn w:val="Fontepargpadro"/>
    <w:link w:val="Ttulo5"/>
    <w:uiPriority w:val="9"/>
    <w:semiHidden/>
    <w:rsid w:val="006C1392"/>
    <w:rPr>
      <w:caps/>
      <w:color w:val="2E74B5" w:themeColor="accent1" w:themeShade="BF"/>
      <w:spacing w:val="10"/>
    </w:rPr>
  </w:style>
  <w:style w:type="character" w:customStyle="1" w:styleId="Ttulo6Char">
    <w:name w:val="Título 6 Char"/>
    <w:basedOn w:val="Fontepargpadro"/>
    <w:link w:val="Ttulo6"/>
    <w:uiPriority w:val="9"/>
    <w:semiHidden/>
    <w:rsid w:val="006C1392"/>
    <w:rPr>
      <w:caps/>
      <w:color w:val="2E74B5" w:themeColor="accent1" w:themeShade="BF"/>
      <w:spacing w:val="10"/>
    </w:rPr>
  </w:style>
  <w:style w:type="character" w:customStyle="1" w:styleId="Ttulo7Char">
    <w:name w:val="Título 7 Char"/>
    <w:basedOn w:val="Fontepargpadro"/>
    <w:link w:val="Ttulo7"/>
    <w:uiPriority w:val="9"/>
    <w:semiHidden/>
    <w:rsid w:val="006C1392"/>
    <w:rPr>
      <w:caps/>
      <w:color w:val="2E74B5" w:themeColor="accent1" w:themeShade="BF"/>
      <w:spacing w:val="10"/>
    </w:rPr>
  </w:style>
  <w:style w:type="character" w:customStyle="1" w:styleId="Ttulo8Char">
    <w:name w:val="Título 8 Char"/>
    <w:basedOn w:val="Fontepargpadro"/>
    <w:link w:val="Ttulo8"/>
    <w:uiPriority w:val="9"/>
    <w:semiHidden/>
    <w:rsid w:val="006C1392"/>
    <w:rPr>
      <w:caps/>
      <w:spacing w:val="10"/>
      <w:sz w:val="18"/>
      <w:szCs w:val="18"/>
    </w:rPr>
  </w:style>
  <w:style w:type="character" w:customStyle="1" w:styleId="Ttulo9Char">
    <w:name w:val="Título 9 Char"/>
    <w:basedOn w:val="Fontepargpadro"/>
    <w:link w:val="Ttulo9"/>
    <w:uiPriority w:val="9"/>
    <w:semiHidden/>
    <w:rsid w:val="006C1392"/>
    <w:rPr>
      <w:i/>
      <w:iCs/>
      <w:caps/>
      <w:spacing w:val="10"/>
      <w:sz w:val="18"/>
      <w:szCs w:val="18"/>
    </w:rPr>
  </w:style>
  <w:style w:type="paragraph" w:styleId="Legenda">
    <w:name w:val="caption"/>
    <w:basedOn w:val="Normal"/>
    <w:next w:val="Normal"/>
    <w:uiPriority w:val="35"/>
    <w:semiHidden/>
    <w:unhideWhenUsed/>
    <w:qFormat/>
    <w:rsid w:val="006C1392"/>
    <w:rPr>
      <w:b/>
      <w:bCs/>
      <w:color w:val="2E74B5" w:themeColor="accent1" w:themeShade="BF"/>
      <w:sz w:val="16"/>
      <w:szCs w:val="16"/>
    </w:rPr>
  </w:style>
  <w:style w:type="paragraph" w:styleId="Ttulo">
    <w:name w:val="Title"/>
    <w:basedOn w:val="Normal"/>
    <w:next w:val="Normal"/>
    <w:link w:val="TtuloChar"/>
    <w:uiPriority w:val="10"/>
    <w:qFormat/>
    <w:rsid w:val="006C139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har">
    <w:name w:val="Título Char"/>
    <w:basedOn w:val="Fontepargpadro"/>
    <w:link w:val="Ttulo"/>
    <w:uiPriority w:val="10"/>
    <w:rsid w:val="006C1392"/>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har"/>
    <w:uiPriority w:val="11"/>
    <w:qFormat/>
    <w:rsid w:val="006C1392"/>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6C1392"/>
    <w:rPr>
      <w:caps/>
      <w:color w:val="595959" w:themeColor="text1" w:themeTint="A6"/>
      <w:spacing w:val="10"/>
      <w:sz w:val="21"/>
      <w:szCs w:val="21"/>
    </w:rPr>
  </w:style>
  <w:style w:type="character" w:styleId="nfase">
    <w:name w:val="Emphasis"/>
    <w:uiPriority w:val="20"/>
    <w:qFormat/>
    <w:rsid w:val="006C1392"/>
    <w:rPr>
      <w:caps/>
      <w:color w:val="1F4D78" w:themeColor="accent1" w:themeShade="7F"/>
      <w:spacing w:val="5"/>
    </w:rPr>
  </w:style>
  <w:style w:type="paragraph" w:styleId="SemEspaamento">
    <w:name w:val="No Spacing"/>
    <w:uiPriority w:val="1"/>
    <w:qFormat/>
    <w:rsid w:val="006C1392"/>
    <w:pPr>
      <w:spacing w:after="0" w:line="240" w:lineRule="auto"/>
    </w:pPr>
  </w:style>
  <w:style w:type="paragraph" w:styleId="Citao">
    <w:name w:val="Quote"/>
    <w:basedOn w:val="Normal"/>
    <w:next w:val="Normal"/>
    <w:link w:val="CitaoChar"/>
    <w:uiPriority w:val="29"/>
    <w:qFormat/>
    <w:rsid w:val="006C1392"/>
    <w:rPr>
      <w:i/>
      <w:iCs/>
      <w:sz w:val="24"/>
      <w:szCs w:val="24"/>
    </w:rPr>
  </w:style>
  <w:style w:type="character" w:customStyle="1" w:styleId="CitaoChar">
    <w:name w:val="Citação Char"/>
    <w:basedOn w:val="Fontepargpadro"/>
    <w:link w:val="Citao"/>
    <w:uiPriority w:val="29"/>
    <w:rsid w:val="006C1392"/>
    <w:rPr>
      <w:i/>
      <w:iCs/>
      <w:sz w:val="24"/>
      <w:szCs w:val="24"/>
    </w:rPr>
  </w:style>
  <w:style w:type="paragraph" w:styleId="CitaoIntensa">
    <w:name w:val="Intense Quote"/>
    <w:basedOn w:val="Normal"/>
    <w:next w:val="Normal"/>
    <w:link w:val="CitaoIntensaChar"/>
    <w:uiPriority w:val="30"/>
    <w:qFormat/>
    <w:rsid w:val="006C1392"/>
    <w:pPr>
      <w:spacing w:before="240" w:after="240" w:line="240" w:lineRule="auto"/>
      <w:ind w:left="1080" w:right="1080"/>
      <w:jc w:val="center"/>
    </w:pPr>
    <w:rPr>
      <w:color w:val="5B9BD5" w:themeColor="accent1"/>
      <w:sz w:val="24"/>
      <w:szCs w:val="24"/>
    </w:rPr>
  </w:style>
  <w:style w:type="character" w:customStyle="1" w:styleId="CitaoIntensaChar">
    <w:name w:val="Citação Intensa Char"/>
    <w:basedOn w:val="Fontepargpadro"/>
    <w:link w:val="CitaoIntensa"/>
    <w:uiPriority w:val="30"/>
    <w:rsid w:val="006C1392"/>
    <w:rPr>
      <w:color w:val="5B9BD5" w:themeColor="accent1"/>
      <w:sz w:val="24"/>
      <w:szCs w:val="24"/>
    </w:rPr>
  </w:style>
  <w:style w:type="character" w:styleId="nfaseSutil">
    <w:name w:val="Subtle Emphasis"/>
    <w:uiPriority w:val="19"/>
    <w:qFormat/>
    <w:rsid w:val="006C1392"/>
    <w:rPr>
      <w:i/>
      <w:iCs/>
      <w:color w:val="1F4D78" w:themeColor="accent1" w:themeShade="7F"/>
    </w:rPr>
  </w:style>
  <w:style w:type="character" w:styleId="nfaseIntensa">
    <w:name w:val="Intense Emphasis"/>
    <w:uiPriority w:val="21"/>
    <w:qFormat/>
    <w:rsid w:val="006C1392"/>
    <w:rPr>
      <w:b/>
      <w:bCs/>
      <w:caps/>
      <w:color w:val="1F4D78" w:themeColor="accent1" w:themeShade="7F"/>
      <w:spacing w:val="10"/>
    </w:rPr>
  </w:style>
  <w:style w:type="character" w:styleId="RefernciaSutil">
    <w:name w:val="Subtle Reference"/>
    <w:uiPriority w:val="31"/>
    <w:qFormat/>
    <w:rsid w:val="006C1392"/>
    <w:rPr>
      <w:b/>
      <w:bCs/>
      <w:color w:val="5B9BD5" w:themeColor="accent1"/>
    </w:rPr>
  </w:style>
  <w:style w:type="character" w:styleId="RefernciaIntensa">
    <w:name w:val="Intense Reference"/>
    <w:uiPriority w:val="32"/>
    <w:qFormat/>
    <w:rsid w:val="006C1392"/>
    <w:rPr>
      <w:b/>
      <w:bCs/>
      <w:i/>
      <w:iCs/>
      <w:caps/>
      <w:color w:val="5B9BD5" w:themeColor="accent1"/>
    </w:rPr>
  </w:style>
  <w:style w:type="character" w:styleId="TtulodoLivro">
    <w:name w:val="Book Title"/>
    <w:uiPriority w:val="33"/>
    <w:qFormat/>
    <w:rsid w:val="006C1392"/>
    <w:rPr>
      <w:b/>
      <w:bCs/>
      <w:i/>
      <w:iCs/>
      <w:spacing w:val="0"/>
    </w:rPr>
  </w:style>
  <w:style w:type="paragraph" w:styleId="CabealhodoSumrio">
    <w:name w:val="TOC Heading"/>
    <w:basedOn w:val="Ttulo1"/>
    <w:next w:val="Normal"/>
    <w:uiPriority w:val="39"/>
    <w:semiHidden/>
    <w:unhideWhenUsed/>
    <w:qFormat/>
    <w:rsid w:val="006C13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9794">
      <w:bodyDiv w:val="1"/>
      <w:marLeft w:val="0"/>
      <w:marRight w:val="0"/>
      <w:marTop w:val="0"/>
      <w:marBottom w:val="0"/>
      <w:divBdr>
        <w:top w:val="none" w:sz="0" w:space="0" w:color="auto"/>
        <w:left w:val="none" w:sz="0" w:space="0" w:color="auto"/>
        <w:bottom w:val="none" w:sz="0" w:space="0" w:color="auto"/>
        <w:right w:val="none" w:sz="0" w:space="0" w:color="auto"/>
      </w:divBdr>
      <w:divsChild>
        <w:div w:id="108811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dital@araraquara.sp.gov.br" TargetMode="External"/><Relationship Id="rId2" Type="http://schemas.openxmlformats.org/officeDocument/2006/relationships/hyperlink" Target="http://www.araraquara.sp.gov.br/transparencia/licitacoes/"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6635-DDFF-45F3-BA09-F8F07174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1739</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Luiz Gustavo Camarani Toledo</cp:lastModifiedBy>
  <cp:revision>45</cp:revision>
  <cp:lastPrinted>2020-11-12T17:56:00Z</cp:lastPrinted>
  <dcterms:created xsi:type="dcterms:W3CDTF">2020-11-30T20:18:00Z</dcterms:created>
  <dcterms:modified xsi:type="dcterms:W3CDTF">2020-12-14T21:00:00Z</dcterms:modified>
</cp:coreProperties>
</file>