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8" w:rsidRPr="006C1392" w:rsidRDefault="00E16309" w:rsidP="00A02A58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"http://sistema.araraquara.sp.gov.br/ftp/compras/TP%20013-2021%20-%20AC%C3%81CIAS.zip" </w:instrText>
      </w:r>
      <w:r>
        <w:rPr>
          <w:rStyle w:val="Hyperlink"/>
        </w:rPr>
        <w:fldChar w:fldCharType="end"/>
      </w:r>
      <w:r w:rsidR="00A02A58">
        <w:rPr>
          <w:rStyle w:val="Hyperlink"/>
        </w:rPr>
        <w:t xml:space="preserve"> </w:t>
      </w:r>
      <w:r w:rsidR="00C26FC4">
        <w:rPr>
          <w:rFonts w:ascii="Verdana" w:hAnsi="Verdana"/>
          <w:b/>
          <w:i/>
          <w:sz w:val="28"/>
          <w:szCs w:val="28"/>
        </w:rPr>
        <w:t>ESCLARECIMENTO</w:t>
      </w:r>
    </w:p>
    <w:p w:rsidR="007C1B04" w:rsidRPr="007C1B04" w:rsidRDefault="007C1B04" w:rsidP="007C1B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7C1B04" w:rsidRPr="007C1B04" w:rsidRDefault="007C1B04" w:rsidP="007C1B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proofErr w:type="gramStart"/>
      <w:r w:rsidRPr="007C1B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“EDITAL DE CONCORRÊNCIA N° 004/2021 </w:t>
      </w:r>
      <w:r w:rsidR="00C26FC4">
        <w:rPr>
          <w:rFonts w:ascii="Verdana" w:eastAsia="Times New Roman" w:hAnsi="Verdana" w:cs="Times New Roman"/>
          <w:b/>
          <w:sz w:val="20"/>
          <w:szCs w:val="20"/>
          <w:lang w:eastAsia="pt-BR"/>
        </w:rPr>
        <w:t>- RETIFICADA</w:t>
      </w:r>
    </w:p>
    <w:p w:rsidR="007C1B04" w:rsidRPr="007C1B04" w:rsidRDefault="007C1B04" w:rsidP="007C1B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proofErr w:type="gramEnd"/>
      <w:r w:rsidRPr="007C1B04">
        <w:rPr>
          <w:rFonts w:ascii="Verdana" w:eastAsia="Times New Roman" w:hAnsi="Verdana" w:cs="Times New Roman"/>
          <w:b/>
          <w:sz w:val="20"/>
          <w:szCs w:val="20"/>
          <w:lang w:eastAsia="pt-BR"/>
        </w:rPr>
        <w:t>“PROCESSO LICITATÓRIO Nº 1800/2021”.</w:t>
      </w:r>
    </w:p>
    <w:p w:rsidR="008F38AE" w:rsidRPr="008F38AE" w:rsidRDefault="007C1B04" w:rsidP="007C1B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7C1B04">
        <w:rPr>
          <w:rFonts w:ascii="Verdana" w:eastAsia="Times New Roman" w:hAnsi="Verdana" w:cs="Times New Roman"/>
          <w:b/>
          <w:sz w:val="20"/>
          <w:szCs w:val="20"/>
          <w:lang w:eastAsia="pt-BR"/>
        </w:rPr>
        <w:t>“DE: 14 de Junho de 2021”</w:t>
      </w:r>
    </w:p>
    <w:p w:rsidR="00A02A58" w:rsidRPr="00FE2631" w:rsidRDefault="00A02A58" w:rsidP="00A02A58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A02A58" w:rsidRPr="00FE2631" w:rsidRDefault="00A02A58" w:rsidP="00A02A58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C26FC4">
        <w:rPr>
          <w:rFonts w:eastAsia="Times New Roman" w:cstheme="minorHAnsi"/>
          <w:sz w:val="18"/>
          <w:szCs w:val="18"/>
          <w:lang w:eastAsia="pt-BR"/>
        </w:rPr>
        <w:t>01</w:t>
      </w:r>
      <w:r w:rsidR="00ED378B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r>
        <w:rPr>
          <w:rFonts w:eastAsia="Times New Roman" w:cstheme="minorHAnsi"/>
          <w:sz w:val="18"/>
          <w:szCs w:val="18"/>
          <w:lang w:eastAsia="pt-BR"/>
        </w:rPr>
        <w:t>JU</w:t>
      </w:r>
      <w:r w:rsidR="00C26FC4">
        <w:rPr>
          <w:rFonts w:eastAsia="Times New Roman" w:cstheme="minorHAnsi"/>
          <w:sz w:val="18"/>
          <w:szCs w:val="18"/>
          <w:lang w:eastAsia="pt-BR"/>
        </w:rPr>
        <w:t>L</w:t>
      </w:r>
      <w:r>
        <w:rPr>
          <w:rFonts w:eastAsia="Times New Roman" w:cstheme="minorHAnsi"/>
          <w:sz w:val="18"/>
          <w:szCs w:val="18"/>
          <w:lang w:eastAsia="pt-BR"/>
        </w:rPr>
        <w:t>HO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202</w:t>
      </w:r>
      <w:r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ED378B" w:rsidRPr="00FE2631" w:rsidRDefault="00ED378B" w:rsidP="00A02A58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5F29F8" w:rsidRDefault="00A02A58" w:rsidP="00A02A58">
      <w:pPr>
        <w:ind w:firstLine="708"/>
        <w:jc w:val="both"/>
        <w:rPr>
          <w:rFonts w:cstheme="minorHAnsi"/>
        </w:rPr>
      </w:pPr>
      <w:r w:rsidRPr="00563347">
        <w:rPr>
          <w:rFonts w:eastAsia="Times New Roman" w:cstheme="minorHAnsi"/>
          <w:lang w:eastAsia="pt-BR"/>
        </w:rPr>
        <w:t xml:space="preserve">Vimos, através deste, em relação à </w:t>
      </w:r>
      <w:r w:rsidR="007C1B04" w:rsidRPr="007C1B04">
        <w:rPr>
          <w:rFonts w:eastAsia="Times New Roman" w:cstheme="minorHAnsi"/>
          <w:lang w:eastAsia="pt-BR"/>
        </w:rPr>
        <w:t>CONCORRÊNCIA N° 004/2021</w:t>
      </w:r>
      <w:r w:rsidRPr="00563347">
        <w:rPr>
          <w:rFonts w:eastAsia="Times New Roman" w:cstheme="minorHAnsi"/>
          <w:lang w:eastAsia="pt-BR"/>
        </w:rPr>
        <w:t xml:space="preserve">, cujo objeto é </w:t>
      </w:r>
      <w:r w:rsidRPr="00563347">
        <w:rPr>
          <w:rFonts w:cstheme="minorHAnsi"/>
          <w:b/>
        </w:rPr>
        <w:t>“</w:t>
      </w:r>
      <w:r w:rsidR="007C1B04" w:rsidRPr="007C1B04">
        <w:rPr>
          <w:rFonts w:cstheme="minorHAnsi"/>
          <w:b/>
        </w:rPr>
        <w:t xml:space="preserve">CONTRATAÇÃO DE EMPRESA ESPECIALIZADA PARA PRESTAÇÃO DE SERVIÇOS DE INSTALAÇÃO DE SISTEMA DE ILUMINAÇÃO PÚBLICA TIPO LED NA PRAÇA DAS BANDEIRAS, PRAÇA DA GRUTA, ÁREA DE </w:t>
      </w:r>
      <w:proofErr w:type="gramStart"/>
      <w:r w:rsidR="007C1B04" w:rsidRPr="007C1B04">
        <w:rPr>
          <w:rFonts w:cstheme="minorHAnsi"/>
          <w:b/>
        </w:rPr>
        <w:t>LAZER DO JARDIM TAMOIOS</w:t>
      </w:r>
      <w:proofErr w:type="gramEnd"/>
      <w:r w:rsidR="007C1B04" w:rsidRPr="007C1B04">
        <w:rPr>
          <w:rFonts w:cstheme="minorHAnsi"/>
          <w:b/>
        </w:rPr>
        <w:t>, PRAÇA DO BAIRRO, PRAÇA ELIZABETH DO AMARAL LUIZ, PRAÇA JARDIM POPULAR II, PRAÇA VER. LAURINDO FERREIRA FILHO, PRAÇA DA IGREJA SANTA ÂNGELA E PRAÇA DA IGREJA SÃO SEBASTIÃO NESTA CIDADE, CONFORME DESCRITO NO PROJETO BÁSICO, NO MEMORIAL DESCRITIVO, NA PLANILHA DE QUANTITATIVOS E NOS DEMAIS ANEXOS, QUE FAZEM PARTE INTEGRANTE DO PRESENTE EDITAL</w:t>
      </w:r>
      <w:r w:rsidRPr="00563347">
        <w:rPr>
          <w:rFonts w:cstheme="minorHAnsi"/>
          <w:b/>
        </w:rPr>
        <w:t xml:space="preserve">”, </w:t>
      </w:r>
      <w:r w:rsidR="00C26FC4" w:rsidRPr="00C26FC4">
        <w:rPr>
          <w:rFonts w:cstheme="minorHAnsi"/>
        </w:rPr>
        <w:t>esclarecer</w:t>
      </w:r>
      <w:r>
        <w:rPr>
          <w:rFonts w:cstheme="minorHAnsi"/>
        </w:rPr>
        <w:t xml:space="preserve"> o que segue:</w:t>
      </w:r>
    </w:p>
    <w:p w:rsidR="00C26FC4" w:rsidRDefault="00C26FC4" w:rsidP="00C26FC4">
      <w:pPr>
        <w:ind w:firstLine="708"/>
        <w:jc w:val="both"/>
        <w:rPr>
          <w:rFonts w:ascii="Calibri" w:hAnsi="Calibri"/>
          <w:color w:val="000000"/>
        </w:rPr>
      </w:pPr>
      <w:r w:rsidRPr="00C26FC4">
        <w:rPr>
          <w:rFonts w:cstheme="minorHAnsi"/>
          <w:b/>
        </w:rPr>
        <w:t>PERGUNTA:</w:t>
      </w:r>
      <w:r>
        <w:rPr>
          <w:rFonts w:cstheme="minorHAnsi"/>
          <w:b/>
        </w:rPr>
        <w:t xml:space="preserve">     </w:t>
      </w:r>
      <w:r>
        <w:rPr>
          <w:rFonts w:ascii="Calibri" w:hAnsi="Calibri"/>
          <w:color w:val="000000"/>
        </w:rPr>
        <w:t xml:space="preserve"> A KODAPP Comercio e Serviços Terceirizados, interessada em participar do processo </w:t>
      </w:r>
      <w:proofErr w:type="spellStart"/>
      <w:r>
        <w:rPr>
          <w:rFonts w:ascii="Calibri" w:hAnsi="Calibri"/>
          <w:color w:val="000000"/>
        </w:rPr>
        <w:t>licitatorio</w:t>
      </w:r>
      <w:proofErr w:type="spellEnd"/>
      <w:r>
        <w:rPr>
          <w:rFonts w:ascii="Calibri" w:hAnsi="Calibri"/>
          <w:color w:val="000000"/>
        </w:rPr>
        <w:t xml:space="preserve"> 1800/2021 CC </w:t>
      </w:r>
      <w:proofErr w:type="gramStart"/>
      <w:r>
        <w:rPr>
          <w:rFonts w:ascii="Calibri" w:hAnsi="Calibri"/>
          <w:color w:val="000000"/>
        </w:rPr>
        <w:t>004/2021 ,</w:t>
      </w:r>
      <w:proofErr w:type="gramEnd"/>
      <w:r>
        <w:rPr>
          <w:rFonts w:ascii="Calibri" w:hAnsi="Calibri"/>
          <w:color w:val="000000"/>
        </w:rPr>
        <w:t xml:space="preserve"> vem respeitosamente na presença de V.Sas., apontar: </w:t>
      </w:r>
    </w:p>
    <w:p w:rsidR="00C26FC4" w:rsidRDefault="00C26FC4" w:rsidP="00C26FC4">
      <w:pPr>
        <w:pStyle w:val="NormalWeb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1)</w:t>
      </w:r>
      <w:proofErr w:type="gramEnd"/>
      <w:r>
        <w:rPr>
          <w:rFonts w:ascii="Calibri" w:hAnsi="Calibri"/>
          <w:color w:val="000000"/>
        </w:rPr>
        <w:t xml:space="preserve"> esta administração, lançou o edital, com tipo de licitação MENOR PREÇO GLORAL. Contudo, em cada item dos lotes, existem diversos materiais com segmentos </w:t>
      </w:r>
      <w:proofErr w:type="gramStart"/>
      <w:r>
        <w:rPr>
          <w:rFonts w:ascii="Calibri" w:hAnsi="Calibri"/>
          <w:color w:val="000000"/>
        </w:rPr>
        <w:t>diferentes .</w:t>
      </w:r>
      <w:proofErr w:type="gramEnd"/>
      <w:r>
        <w:rPr>
          <w:rFonts w:ascii="Calibri" w:hAnsi="Calibri"/>
          <w:color w:val="000000"/>
        </w:rPr>
        <w:t> </w:t>
      </w:r>
    </w:p>
    <w:p w:rsidR="00C26FC4" w:rsidRDefault="00C26FC4" w:rsidP="00C26FC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Logo, por se a </w:t>
      </w:r>
      <w:proofErr w:type="spellStart"/>
      <w:proofErr w:type="gramStart"/>
      <w:r>
        <w:rPr>
          <w:rFonts w:ascii="Calibri" w:hAnsi="Calibri"/>
          <w:color w:val="000000"/>
        </w:rPr>
        <w:t>licitaç</w:t>
      </w:r>
      <w:proofErr w:type="spellEnd"/>
      <w:r>
        <w:rPr>
          <w:rFonts w:ascii="Calibri" w:hAnsi="Calibri"/>
          <w:color w:val="000000"/>
        </w:rPr>
        <w:t>~</w:t>
      </w:r>
      <w:proofErr w:type="gramEnd"/>
      <w:r>
        <w:rPr>
          <w:rFonts w:ascii="Calibri" w:hAnsi="Calibri"/>
          <w:color w:val="000000"/>
        </w:rPr>
        <w:t>´ao por menor preço global, entende-se que tem que ofertamos todos os itens do respectivo lote.  </w:t>
      </w:r>
    </w:p>
    <w:p w:rsidR="00C26FC4" w:rsidRDefault="00C26FC4" w:rsidP="00C26FC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Desta forma, </w:t>
      </w:r>
      <w:proofErr w:type="spellStart"/>
      <w:proofErr w:type="gramStart"/>
      <w:r>
        <w:rPr>
          <w:rFonts w:ascii="Calibri" w:hAnsi="Calibri"/>
          <w:color w:val="000000"/>
        </w:rPr>
        <w:t>alem</w:t>
      </w:r>
      <w:proofErr w:type="spellEnd"/>
      <w:proofErr w:type="gramEnd"/>
      <w:r>
        <w:rPr>
          <w:rFonts w:ascii="Calibri" w:hAnsi="Calibri"/>
          <w:color w:val="000000"/>
        </w:rPr>
        <w:t xml:space="preserve"> da administração pagar um preço mais caro, visto que a empresa por exemplo que fornece </w:t>
      </w:r>
      <w:proofErr w:type="spellStart"/>
      <w:r>
        <w:rPr>
          <w:rFonts w:ascii="Calibri" w:hAnsi="Calibri"/>
          <w:color w:val="000000"/>
        </w:rPr>
        <w:t>luminaria</w:t>
      </w:r>
      <w:proofErr w:type="spellEnd"/>
      <w:r>
        <w:rPr>
          <w:rFonts w:ascii="Calibri" w:hAnsi="Calibri"/>
          <w:color w:val="000000"/>
        </w:rPr>
        <w:t xml:space="preserve">, não fornece os cabos, logo, para fornecer os itens que não, trabalha buscara no mercado e pagara mais caro e repassara </w:t>
      </w:r>
      <w:proofErr w:type="spellStart"/>
      <w:r>
        <w:rPr>
          <w:rFonts w:ascii="Calibri" w:hAnsi="Calibri"/>
          <w:color w:val="000000"/>
        </w:rPr>
        <w:t>igualment</w:t>
      </w:r>
      <w:proofErr w:type="spellEnd"/>
      <w:r>
        <w:rPr>
          <w:rFonts w:ascii="Calibri" w:hAnsi="Calibri"/>
          <w:color w:val="000000"/>
        </w:rPr>
        <w:t xml:space="preserve"> à Administração . </w:t>
      </w:r>
    </w:p>
    <w:p w:rsidR="00C26FC4" w:rsidRDefault="00C26FC4" w:rsidP="00C26FC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 a licitação fosse </w:t>
      </w:r>
      <w:proofErr w:type="gramStart"/>
      <w:r>
        <w:rPr>
          <w:rFonts w:ascii="Calibri" w:hAnsi="Calibri"/>
          <w:color w:val="000000"/>
        </w:rPr>
        <w:t>separado</w:t>
      </w:r>
      <w:proofErr w:type="gramEnd"/>
      <w:r>
        <w:rPr>
          <w:rFonts w:ascii="Calibri" w:hAnsi="Calibri"/>
          <w:color w:val="000000"/>
        </w:rPr>
        <w:t xml:space="preserve"> os itens por segmentos, </w:t>
      </w:r>
      <w:proofErr w:type="spellStart"/>
      <w:r>
        <w:rPr>
          <w:rFonts w:ascii="Calibri" w:hAnsi="Calibri"/>
          <w:color w:val="000000"/>
        </w:rPr>
        <w:t>alem</w:t>
      </w:r>
      <w:proofErr w:type="spellEnd"/>
      <w:r>
        <w:rPr>
          <w:rFonts w:ascii="Calibri" w:hAnsi="Calibri"/>
          <w:color w:val="000000"/>
        </w:rPr>
        <w:t xml:space="preserve"> de ter um maior numero de participantes, também, haveria um menor preço por cada segmento, visto que em razão da especialidade de cada empresa, esta consegue fazer um menor preço . </w:t>
      </w:r>
    </w:p>
    <w:p w:rsidR="00C26FC4" w:rsidRDefault="00C26FC4" w:rsidP="00C26FC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Assim, seria de bom tom que a licitação fosse por menor preço por item ou que os lotes fossem </w:t>
      </w:r>
      <w:proofErr w:type="gramStart"/>
      <w:r>
        <w:rPr>
          <w:rFonts w:ascii="Calibri" w:hAnsi="Calibri"/>
          <w:color w:val="000000"/>
        </w:rPr>
        <w:t>desmembrado</w:t>
      </w:r>
      <w:proofErr w:type="gramEnd"/>
      <w:r>
        <w:rPr>
          <w:rFonts w:ascii="Calibri" w:hAnsi="Calibri"/>
          <w:color w:val="000000"/>
        </w:rPr>
        <w:t xml:space="preserve"> com por matérias (segmentos) . </w:t>
      </w:r>
    </w:p>
    <w:p w:rsidR="001C3C91" w:rsidRDefault="001C3C91" w:rsidP="00C26FC4">
      <w:pPr>
        <w:pStyle w:val="NormalWeb"/>
        <w:jc w:val="both"/>
        <w:rPr>
          <w:rFonts w:ascii="Calibri" w:hAnsi="Calibri"/>
          <w:color w:val="000000"/>
        </w:rPr>
      </w:pPr>
    </w:p>
    <w:p w:rsidR="001C3C91" w:rsidRDefault="00C26FC4" w:rsidP="001C3C91">
      <w:pPr>
        <w:ind w:left="709" w:firstLine="992"/>
        <w:jc w:val="both"/>
      </w:pPr>
      <w:r w:rsidRPr="001C3C91">
        <w:rPr>
          <w:rFonts w:ascii="Calibri" w:hAnsi="Calibri"/>
          <w:b/>
          <w:color w:val="000000"/>
        </w:rPr>
        <w:t>RESPO</w:t>
      </w:r>
      <w:r w:rsidR="001C3C91">
        <w:rPr>
          <w:rFonts w:ascii="Calibri" w:hAnsi="Calibri"/>
          <w:b/>
          <w:color w:val="000000"/>
        </w:rPr>
        <w:t>S</w:t>
      </w:r>
      <w:r w:rsidRPr="001C3C91">
        <w:rPr>
          <w:rFonts w:ascii="Calibri" w:hAnsi="Calibri"/>
          <w:b/>
          <w:color w:val="000000"/>
        </w:rPr>
        <w:t>TA:</w:t>
      </w:r>
      <w:r w:rsidR="001C3C91">
        <w:rPr>
          <w:rFonts w:ascii="Calibri" w:hAnsi="Calibri"/>
          <w:b/>
          <w:color w:val="000000"/>
        </w:rPr>
        <w:t xml:space="preserve">  </w:t>
      </w:r>
      <w:r w:rsidR="001C3C91">
        <w:t xml:space="preserve">Em resposta aos questionamentos da </w:t>
      </w:r>
      <w:r w:rsidR="001C3C91">
        <w:rPr>
          <w:rFonts w:ascii="Calibri" w:hAnsi="Calibri" w:cs="Calibri"/>
          <w:color w:val="000000"/>
        </w:rPr>
        <w:t>KODAPP Comercio e Serviços Terceirizados</w:t>
      </w:r>
      <w:r w:rsidR="001C3C91">
        <w:t>:</w:t>
      </w:r>
    </w:p>
    <w:p w:rsidR="001C3C91" w:rsidRDefault="001C3C91" w:rsidP="001C3C91">
      <w:pPr>
        <w:ind w:left="709" w:firstLine="992"/>
        <w:jc w:val="both"/>
      </w:pPr>
      <w:r>
        <w:t xml:space="preserve">Não concordamos com a afirmação feita pela empresa, e entendemos que a mesma analisou apenas a planilha orçamentaria, sendo que o memorial descritivo </w:t>
      </w:r>
      <w:r>
        <w:lastRenderedPageBreak/>
        <w:t>explica como deve ser a execução da obra. Quando a planilha apresenta luminária, não se trata apenas da luminária, mas de toda mão de obra para sua instalação, logística, armazenamento e o principal, garantia.</w:t>
      </w:r>
    </w:p>
    <w:p w:rsidR="001C3C91" w:rsidRDefault="001C3C91" w:rsidP="001C3C91">
      <w:pPr>
        <w:ind w:left="709" w:firstLine="992"/>
        <w:jc w:val="both"/>
      </w:pPr>
      <w:r>
        <w:t xml:space="preserve">Comprando itens separadamente aparentemente seria pago um menor valor por cada item, mas teríamos que </w:t>
      </w:r>
      <w:proofErr w:type="gramStart"/>
      <w:r>
        <w:t>armazenar,</w:t>
      </w:r>
      <w:proofErr w:type="gramEnd"/>
      <w:r>
        <w:t xml:space="preserve"> transportar, instalar, alugar ferramentas e caminhões, além de quando houver um problema, arcaremos com os custos novamente para remover a luminária e enviar ao fabricante. Tudo isso não é interessante </w:t>
      </w:r>
      <w:proofErr w:type="gramStart"/>
      <w:r>
        <w:t>a</w:t>
      </w:r>
      <w:proofErr w:type="gramEnd"/>
      <w:r>
        <w:t xml:space="preserve"> administração, e pelo poder discricionário, optamos por comprar a obra completa, que num valor global, não só de itens, mas de toda a operação, manutenção e garantia, será mais vantajoso aos cofres públicos.</w:t>
      </w:r>
    </w:p>
    <w:p w:rsidR="001C3C91" w:rsidRDefault="001C3C91" w:rsidP="001C3C91">
      <w:pPr>
        <w:ind w:left="709" w:firstLine="992"/>
        <w:jc w:val="both"/>
      </w:pPr>
      <w:r>
        <w:t>Ressalvo ainda que não é possível comprar dessa forma de diferentes fornecedores, por motivos óbvios, sendo assim, uma mesma empresa deverá fornecer todos os materiais, mão de obra, garantir seu funcionamento no local, e fornecer garantia de funcionamento de todos os materiais e serviços fornecidos pelo período de 5 anos.</w:t>
      </w:r>
    </w:p>
    <w:p w:rsidR="00A02A58" w:rsidRDefault="00A02A58" w:rsidP="00A02A58">
      <w:pPr>
        <w:ind w:firstLine="708"/>
        <w:jc w:val="center"/>
      </w:pPr>
      <w:r w:rsidRPr="00A02A58">
        <w:t xml:space="preserve">Era o que tínhamos a </w:t>
      </w:r>
      <w:r w:rsidR="00C26FC4">
        <w:t>esclarecer</w:t>
      </w:r>
      <w:r w:rsidRPr="00A02A58">
        <w:t>.</w:t>
      </w:r>
    </w:p>
    <w:p w:rsidR="007F00BE" w:rsidRDefault="007F00BE" w:rsidP="00A02A58">
      <w:pPr>
        <w:ind w:firstLine="708"/>
        <w:jc w:val="center"/>
      </w:pPr>
    </w:p>
    <w:p w:rsidR="007F00BE" w:rsidRDefault="007F00BE" w:rsidP="007F00BE">
      <w:pPr>
        <w:ind w:firstLine="708"/>
        <w:jc w:val="center"/>
      </w:pPr>
      <w:r>
        <w:t>Assinado no Original</w:t>
      </w:r>
    </w:p>
    <w:p w:rsidR="00A02A58" w:rsidRPr="00A02A58" w:rsidRDefault="00A02A58" w:rsidP="007F00BE">
      <w:pPr>
        <w:ind w:firstLine="708"/>
        <w:jc w:val="center"/>
        <w:rPr>
          <w:b/>
        </w:rPr>
      </w:pPr>
      <w:r w:rsidRPr="00A02A58">
        <w:rPr>
          <w:b/>
        </w:rPr>
        <w:t>ARIANE SOARES DE SOUZA</w:t>
      </w:r>
    </w:p>
    <w:p w:rsidR="00A02A58" w:rsidRDefault="007F00BE" w:rsidP="00A02A58">
      <w:pPr>
        <w:spacing w:after="0" w:line="240" w:lineRule="auto"/>
        <w:jc w:val="center"/>
      </w:pPr>
      <w:r>
        <w:t xml:space="preserve">            </w:t>
      </w:r>
      <w:r w:rsidR="00A02A58">
        <w:t>Comissão Permanente de Licitações</w:t>
      </w:r>
    </w:p>
    <w:p w:rsidR="00A02A58" w:rsidRPr="00A02A58" w:rsidRDefault="007F00BE" w:rsidP="00A02A58">
      <w:pPr>
        <w:spacing w:after="0" w:line="240" w:lineRule="auto"/>
        <w:jc w:val="center"/>
      </w:pPr>
      <w:r>
        <w:t xml:space="preserve">           </w:t>
      </w:r>
      <w:bookmarkStart w:id="0" w:name="_GoBack"/>
      <w:bookmarkEnd w:id="0"/>
      <w:r w:rsidR="00A02A58">
        <w:t>Presidente</w:t>
      </w:r>
    </w:p>
    <w:sectPr w:rsidR="00A02A58" w:rsidRPr="00A02A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58" w:rsidRDefault="00A02A58" w:rsidP="00A02A58">
      <w:pPr>
        <w:spacing w:after="0" w:line="240" w:lineRule="auto"/>
      </w:pPr>
      <w:r>
        <w:separator/>
      </w:r>
    </w:p>
  </w:endnote>
  <w:end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150403"/>
      <w:docPartObj>
        <w:docPartGallery w:val="Page Numbers (Bottom of Page)"/>
        <w:docPartUnique/>
      </w:docPartObj>
    </w:sdtPr>
    <w:sdtContent>
      <w:p w:rsidR="007F00BE" w:rsidRDefault="007F00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00BE" w:rsidRDefault="007F00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58" w:rsidRDefault="00A02A58" w:rsidP="00A02A58">
      <w:pPr>
        <w:spacing w:after="0" w:line="240" w:lineRule="auto"/>
      </w:pPr>
      <w:r>
        <w:separator/>
      </w:r>
    </w:p>
  </w:footnote>
  <w:foot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-333375</wp:posOffset>
          </wp:positionV>
          <wp:extent cx="1063625" cy="962025"/>
          <wp:effectExtent l="0" t="0" r="3175" b="9525"/>
          <wp:wrapNone/>
          <wp:docPr id="1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895985" cy="8286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      </w:t>
    </w:r>
  </w:p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</w:p>
  <w:p w:rsidR="00A02A58" w:rsidRPr="00A02A58" w:rsidRDefault="00A02A58" w:rsidP="00A02A58">
    <w:pPr>
      <w:pStyle w:val="Cabealho"/>
      <w:jc w:val="center"/>
      <w:rPr>
        <w:smallCaps/>
        <w:color w:val="000000"/>
        <w:sz w:val="32"/>
        <w:szCs w:val="32"/>
      </w:rPr>
    </w:pPr>
    <w:r w:rsidRPr="00A02A58">
      <w:rPr>
        <w:smallCaps/>
        <w:color w:val="000000"/>
        <w:sz w:val="32"/>
        <w:szCs w:val="32"/>
      </w:rPr>
      <w:t>Prefeitura Municipal de Araraquara</w:t>
    </w:r>
  </w:p>
  <w:p w:rsidR="00A02A58" w:rsidRPr="00A02A58" w:rsidRDefault="00A02A58" w:rsidP="00A02A58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A02A58">
      <w:rPr>
        <w:rFonts w:ascii="Arial" w:hAnsi="Arial" w:cs="Arial"/>
        <w:b/>
        <w:bCs/>
        <w:color w:val="000080"/>
        <w:sz w:val="18"/>
        <w:szCs w:val="18"/>
      </w:rPr>
      <w:t>SECRETARIA MUNICIPAL DE ADMINISTRAÇÃO</w:t>
    </w:r>
  </w:p>
  <w:p w:rsidR="00A02A58" w:rsidRPr="00A02A58" w:rsidRDefault="00A02A58" w:rsidP="00A02A58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GERÊNCIA DE LICITAÇÃO </w:t>
    </w:r>
  </w:p>
  <w:p w:rsidR="00A02A58" w:rsidRPr="00A02A58" w:rsidRDefault="00A02A58" w:rsidP="00A02A58">
    <w:pPr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Paço Municipal – Rua São Bento, 840 – centro – Cep.14.801.901 – Fone: (16) 3301-5116     </w:t>
    </w:r>
  </w:p>
  <w:p w:rsidR="00A02A58" w:rsidRPr="00A02A58" w:rsidRDefault="00A02A58" w:rsidP="00A02A58">
    <w:pPr>
      <w:spacing w:after="0" w:line="240" w:lineRule="auto"/>
      <w:jc w:val="center"/>
      <w:rPr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Site: </w:t>
    </w:r>
    <w:hyperlink r:id="rId3" w:history="1">
      <w:r w:rsidRPr="00A02A58">
        <w:rPr>
          <w:rStyle w:val="Hyperlink"/>
          <w:rFonts w:ascii="Arial" w:hAnsi="Arial" w:cs="Arial"/>
          <w:sz w:val="18"/>
          <w:szCs w:val="18"/>
        </w:rPr>
        <w:t>http://www.araraquara.sp.gov.br/transparencia-gestao-e-financas/portal-da-transparencia-gestao-e-financas</w:t>
      </w:r>
    </w:hyperlink>
    <w:r w:rsidRPr="00A02A58">
      <w:rPr>
        <w:rFonts w:ascii="Arial" w:hAnsi="Arial" w:cs="Arial"/>
        <w:sz w:val="18"/>
        <w:szCs w:val="18"/>
      </w:rPr>
      <w:t xml:space="preserve">  </w:t>
    </w:r>
    <w:r w:rsidRPr="00A02A58">
      <w:rPr>
        <w:rFonts w:ascii="Arial" w:hAnsi="Arial" w:cs="Arial"/>
        <w:b/>
        <w:color w:val="000080"/>
        <w:sz w:val="18"/>
        <w:szCs w:val="18"/>
      </w:rPr>
      <w:t xml:space="preserve">E-mail: </w:t>
    </w:r>
    <w:hyperlink r:id="rId4" w:history="1">
      <w:r w:rsidRPr="00A02A58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A02A58">
      <w:rPr>
        <w:rFonts w:ascii="Arial" w:hAnsi="Arial" w:cs="Arial"/>
        <w:b/>
        <w:color w:val="000080"/>
        <w:sz w:val="18"/>
        <w:szCs w:val="18"/>
      </w:rPr>
      <w:t>.</w:t>
    </w:r>
  </w:p>
  <w:p w:rsidR="00A02A58" w:rsidRDefault="00A02A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F8"/>
    <w:rsid w:val="000255B7"/>
    <w:rsid w:val="001507A7"/>
    <w:rsid w:val="001C3C91"/>
    <w:rsid w:val="00221F61"/>
    <w:rsid w:val="00296B9D"/>
    <w:rsid w:val="005F29F8"/>
    <w:rsid w:val="007C1B04"/>
    <w:rsid w:val="007F00BE"/>
    <w:rsid w:val="008F38AE"/>
    <w:rsid w:val="00A02A58"/>
    <w:rsid w:val="00B371AE"/>
    <w:rsid w:val="00C26FC4"/>
    <w:rsid w:val="00DF2F30"/>
    <w:rsid w:val="00E16309"/>
    <w:rsid w:val="00ED378B"/>
    <w:rsid w:val="00F200C3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9F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A58"/>
  </w:style>
  <w:style w:type="paragraph" w:styleId="Rodap">
    <w:name w:val="footer"/>
    <w:basedOn w:val="Normal"/>
    <w:link w:val="Rodap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A58"/>
  </w:style>
  <w:style w:type="paragraph" w:styleId="NormalWeb">
    <w:name w:val="Normal (Web)"/>
    <w:basedOn w:val="Normal"/>
    <w:uiPriority w:val="99"/>
    <w:semiHidden/>
    <w:unhideWhenUsed/>
    <w:rsid w:val="00C26FC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9F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A58"/>
  </w:style>
  <w:style w:type="paragraph" w:styleId="Rodap">
    <w:name w:val="footer"/>
    <w:basedOn w:val="Normal"/>
    <w:link w:val="Rodap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A58"/>
  </w:style>
  <w:style w:type="paragraph" w:styleId="NormalWeb">
    <w:name w:val="Normal (Web)"/>
    <w:basedOn w:val="Normal"/>
    <w:uiPriority w:val="99"/>
    <w:semiHidden/>
    <w:unhideWhenUsed/>
    <w:rsid w:val="00C26FC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/transparencia-gestao-e-financas/portal-da-transparencia-gestao-e-financ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4</cp:revision>
  <cp:lastPrinted>2021-07-01T18:16:00Z</cp:lastPrinted>
  <dcterms:created xsi:type="dcterms:W3CDTF">2021-07-01T18:00:00Z</dcterms:created>
  <dcterms:modified xsi:type="dcterms:W3CDTF">2021-07-01T18:17:00Z</dcterms:modified>
</cp:coreProperties>
</file>