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45" w:rsidRPr="00707930" w:rsidRDefault="00707930" w:rsidP="00707930">
      <w:pPr>
        <w:shd w:val="clear" w:color="auto" w:fill="D9D9D9" w:themeFill="background1" w:themeFillShade="D9"/>
        <w:jc w:val="center"/>
        <w:rPr>
          <w:rFonts w:cstheme="minorHAnsi"/>
          <w:i/>
          <w:sz w:val="44"/>
          <w:szCs w:val="44"/>
        </w:rPr>
      </w:pPr>
      <w:r w:rsidRPr="00707930">
        <w:rPr>
          <w:rFonts w:cstheme="minorHAnsi"/>
          <w:i/>
          <w:sz w:val="44"/>
          <w:szCs w:val="44"/>
        </w:rPr>
        <w:t>ESCLARECIMENTO</w:t>
      </w:r>
    </w:p>
    <w:p w:rsidR="00707930" w:rsidRPr="00CB4BAC" w:rsidRDefault="00707930" w:rsidP="00707930">
      <w:pPr>
        <w:spacing w:after="0" w:line="240" w:lineRule="auto"/>
        <w:jc w:val="center"/>
        <w:rPr>
          <w:rFonts w:ascii="Verdana" w:hAnsi="Verdana"/>
          <w:b/>
          <w:sz w:val="18"/>
          <w:szCs w:val="18"/>
        </w:rPr>
      </w:pPr>
    </w:p>
    <w:p w:rsidR="00707930" w:rsidRDefault="00707930" w:rsidP="00707930">
      <w:pPr>
        <w:spacing w:after="0" w:line="240" w:lineRule="auto"/>
        <w:jc w:val="center"/>
        <w:rPr>
          <w:rFonts w:ascii="Verdana" w:hAnsi="Verdana"/>
          <w:b/>
          <w:sz w:val="18"/>
          <w:szCs w:val="18"/>
        </w:rPr>
      </w:pPr>
      <w:r w:rsidRPr="00CB4BAC">
        <w:rPr>
          <w:rFonts w:ascii="Verdana" w:hAnsi="Verdana"/>
          <w:b/>
          <w:sz w:val="18"/>
          <w:szCs w:val="18"/>
        </w:rPr>
        <w:t xml:space="preserve">“EDITAL DE CONCORRÊNCIA N° </w:t>
      </w:r>
      <w:r>
        <w:rPr>
          <w:rFonts w:ascii="Verdana" w:hAnsi="Verdana"/>
          <w:b/>
          <w:sz w:val="18"/>
          <w:szCs w:val="18"/>
        </w:rPr>
        <w:t>002</w:t>
      </w:r>
      <w:r w:rsidRPr="00CB4BAC">
        <w:rPr>
          <w:rFonts w:ascii="Verdana" w:hAnsi="Verdana"/>
          <w:b/>
          <w:sz w:val="18"/>
          <w:szCs w:val="18"/>
        </w:rPr>
        <w:t>/202</w:t>
      </w:r>
      <w:r>
        <w:rPr>
          <w:rFonts w:ascii="Verdana" w:hAnsi="Verdana"/>
          <w:b/>
          <w:sz w:val="18"/>
          <w:szCs w:val="18"/>
        </w:rPr>
        <w:t>1</w:t>
      </w:r>
      <w:r w:rsidRPr="00CB4BAC">
        <w:rPr>
          <w:rFonts w:ascii="Verdana" w:hAnsi="Verdana"/>
          <w:b/>
          <w:sz w:val="18"/>
          <w:szCs w:val="18"/>
        </w:rPr>
        <w:t xml:space="preserve">” </w:t>
      </w:r>
    </w:p>
    <w:p w:rsidR="00707930" w:rsidRPr="00CB4BAC" w:rsidRDefault="00707930" w:rsidP="00707930">
      <w:pPr>
        <w:spacing w:after="0" w:line="240" w:lineRule="auto"/>
        <w:jc w:val="center"/>
        <w:rPr>
          <w:rFonts w:ascii="Verdana" w:hAnsi="Verdana"/>
          <w:b/>
          <w:sz w:val="18"/>
          <w:szCs w:val="18"/>
        </w:rPr>
      </w:pPr>
      <w:r w:rsidRPr="00CB4BAC">
        <w:rPr>
          <w:rFonts w:ascii="Verdana" w:hAnsi="Verdana"/>
          <w:b/>
          <w:sz w:val="18"/>
          <w:szCs w:val="18"/>
        </w:rPr>
        <w:t xml:space="preserve">“PROCESSO LICITATÓRIO Nº </w:t>
      </w:r>
      <w:r>
        <w:rPr>
          <w:rFonts w:ascii="Verdana" w:hAnsi="Verdana"/>
          <w:b/>
          <w:sz w:val="18"/>
          <w:szCs w:val="18"/>
        </w:rPr>
        <w:t>399</w:t>
      </w:r>
      <w:r w:rsidRPr="00CB4BAC">
        <w:rPr>
          <w:rFonts w:ascii="Verdana" w:hAnsi="Verdana"/>
          <w:b/>
          <w:sz w:val="18"/>
          <w:szCs w:val="18"/>
        </w:rPr>
        <w:t>/202</w:t>
      </w:r>
      <w:r>
        <w:rPr>
          <w:rFonts w:ascii="Verdana" w:hAnsi="Verdana"/>
          <w:b/>
          <w:sz w:val="18"/>
          <w:szCs w:val="18"/>
        </w:rPr>
        <w:t>1</w:t>
      </w:r>
      <w:r w:rsidRPr="00CB4BAC">
        <w:rPr>
          <w:rFonts w:ascii="Verdana" w:hAnsi="Verdana"/>
          <w:b/>
          <w:sz w:val="18"/>
          <w:szCs w:val="18"/>
        </w:rPr>
        <w:t>”.</w:t>
      </w:r>
    </w:p>
    <w:p w:rsidR="00707930" w:rsidRPr="00CB4BAC" w:rsidRDefault="00707930" w:rsidP="00707930">
      <w:pPr>
        <w:spacing w:after="0" w:line="240" w:lineRule="auto"/>
        <w:jc w:val="center"/>
        <w:rPr>
          <w:rFonts w:ascii="Verdana" w:hAnsi="Verdana"/>
          <w:b/>
          <w:sz w:val="18"/>
          <w:szCs w:val="18"/>
        </w:rPr>
      </w:pPr>
      <w:r w:rsidRPr="00CB4BAC">
        <w:rPr>
          <w:rFonts w:ascii="Verdana" w:hAnsi="Verdana"/>
          <w:b/>
          <w:sz w:val="18"/>
          <w:szCs w:val="18"/>
        </w:rPr>
        <w:t>“DE:</w:t>
      </w:r>
      <w:r w:rsidRPr="00CB4BAC">
        <w:rPr>
          <w:rFonts w:ascii="Verdana" w:hAnsi="Verdana"/>
          <w:b/>
          <w:noProof/>
          <w:sz w:val="18"/>
          <w:szCs w:val="18"/>
        </w:rPr>
        <w:t xml:space="preserve"> </w:t>
      </w:r>
      <w:r>
        <w:rPr>
          <w:rFonts w:ascii="Verdana" w:hAnsi="Verdana"/>
          <w:b/>
          <w:noProof/>
          <w:sz w:val="18"/>
          <w:szCs w:val="18"/>
        </w:rPr>
        <w:t>19</w:t>
      </w:r>
      <w:r w:rsidRPr="00CB4BAC">
        <w:rPr>
          <w:rFonts w:ascii="Verdana" w:hAnsi="Verdana"/>
          <w:b/>
          <w:noProof/>
          <w:sz w:val="18"/>
          <w:szCs w:val="18"/>
        </w:rPr>
        <w:t xml:space="preserve"> de </w:t>
      </w:r>
      <w:r>
        <w:rPr>
          <w:rFonts w:ascii="Verdana" w:hAnsi="Verdana"/>
          <w:b/>
          <w:noProof/>
          <w:sz w:val="18"/>
          <w:szCs w:val="18"/>
        </w:rPr>
        <w:t>FEVEREIRO</w:t>
      </w:r>
      <w:r w:rsidRPr="00CB4BAC">
        <w:rPr>
          <w:rFonts w:ascii="Verdana" w:hAnsi="Verdana"/>
          <w:b/>
          <w:noProof/>
          <w:sz w:val="18"/>
          <w:szCs w:val="18"/>
        </w:rPr>
        <w:t xml:space="preserve"> de 202</w:t>
      </w:r>
      <w:r>
        <w:rPr>
          <w:rFonts w:ascii="Verdana" w:hAnsi="Verdana"/>
          <w:b/>
          <w:noProof/>
          <w:sz w:val="18"/>
          <w:szCs w:val="18"/>
        </w:rPr>
        <w:t>1</w:t>
      </w:r>
      <w:r w:rsidRPr="00CB4BAC">
        <w:rPr>
          <w:rFonts w:ascii="Verdana" w:hAnsi="Verdana"/>
          <w:b/>
          <w:sz w:val="18"/>
          <w:szCs w:val="18"/>
        </w:rPr>
        <w:t>”</w:t>
      </w:r>
    </w:p>
    <w:p w:rsidR="00707930" w:rsidRDefault="00707930" w:rsidP="00707930">
      <w:pPr>
        <w:jc w:val="center"/>
        <w:rPr>
          <w:rFonts w:ascii="Verdana" w:hAnsi="Verdana"/>
          <w:b/>
          <w:sz w:val="18"/>
          <w:szCs w:val="18"/>
        </w:rPr>
      </w:pPr>
    </w:p>
    <w:p w:rsidR="00707930" w:rsidRPr="00CB4BAC" w:rsidRDefault="00707930" w:rsidP="00707930">
      <w:pPr>
        <w:jc w:val="center"/>
        <w:rPr>
          <w:rFonts w:ascii="Verdana" w:hAnsi="Verdana"/>
          <w:b/>
          <w:sz w:val="18"/>
          <w:szCs w:val="18"/>
        </w:rPr>
      </w:pPr>
    </w:p>
    <w:p w:rsidR="001B4574" w:rsidRDefault="00707930" w:rsidP="00707930">
      <w:pPr>
        <w:jc w:val="right"/>
        <w:rPr>
          <w:rFonts w:cstheme="minorHAnsi"/>
        </w:rPr>
      </w:pPr>
      <w:r>
        <w:rPr>
          <w:rFonts w:cstheme="minorHAnsi"/>
        </w:rPr>
        <w:t>Araraquara, 16 de março de 2021.</w:t>
      </w:r>
    </w:p>
    <w:p w:rsidR="00707930" w:rsidRDefault="00707930" w:rsidP="00215E45">
      <w:pPr>
        <w:jc w:val="both"/>
        <w:rPr>
          <w:rFonts w:cstheme="minorHAnsi"/>
        </w:rPr>
      </w:pPr>
    </w:p>
    <w:p w:rsidR="001D5C19" w:rsidRPr="001D5C19" w:rsidRDefault="001B4574" w:rsidP="001D5C19">
      <w:pPr>
        <w:ind w:firstLine="1701"/>
        <w:jc w:val="both"/>
        <w:rPr>
          <w:rFonts w:cstheme="minorHAnsi"/>
        </w:rPr>
      </w:pPr>
      <w:r>
        <w:rPr>
          <w:rFonts w:cstheme="minorHAnsi"/>
        </w:rPr>
        <w:t>Vimos, através deste, em relação à Concorrência 002/2021</w:t>
      </w:r>
      <w:r w:rsidR="009804ED">
        <w:rPr>
          <w:rFonts w:cstheme="minorHAnsi"/>
        </w:rPr>
        <w:t xml:space="preserve"> que tem por objeto a </w:t>
      </w:r>
      <w:r w:rsidR="009804ED" w:rsidRPr="009804ED">
        <w:rPr>
          <w:rFonts w:cstheme="minorHAnsi"/>
        </w:rPr>
        <w:t>CONTRATAÇÃO DE EMPRESA ESPECIALIZADA PARA OS SERVIÇOS DE MANUTENÇÃO PREVENTIVA E CORRETIVA E EFICIENTIZAÇÃO DE SISTEMA DE ILUMINAÇÃO PÚBLICA DE LOCAIS PÚBLICOS, LOGRADOUROS, VIAS, PRAÇAS, PONTILHÕES, ÁREAS DE LAZER, DISPOSITIVOS VIÁRIOS E OUTROS DESTA CIDADE, CONFORME DESCRITO NO PROJETO BÁSICO, NO MEMORIAL DESCRITIVO, NA PLANILHA DE QUANTITATIVOS E NOS DEMAIS ANEXOS, QUE FAZEM PARTE INTEGRANTE DO PRESENTE EDITAL</w:t>
      </w:r>
      <w:r w:rsidR="00707930">
        <w:rPr>
          <w:rFonts w:cstheme="minorHAnsi"/>
        </w:rPr>
        <w:t xml:space="preserve">, em atenção aos pedidos de esclarecimentos elaborados pela empresa </w:t>
      </w:r>
      <w:proofErr w:type="spellStart"/>
      <w:r w:rsidR="00707930">
        <w:rPr>
          <w:rFonts w:cstheme="minorHAnsi"/>
        </w:rPr>
        <w:t>Omexom</w:t>
      </w:r>
      <w:proofErr w:type="spellEnd"/>
      <w:r w:rsidR="00707930">
        <w:rPr>
          <w:rFonts w:cstheme="minorHAnsi"/>
        </w:rPr>
        <w:t xml:space="preserve"> Belo Horizonte - </w:t>
      </w:r>
      <w:proofErr w:type="spellStart"/>
      <w:r w:rsidR="00707930">
        <w:rPr>
          <w:rFonts w:cstheme="minorHAnsi"/>
        </w:rPr>
        <w:t>OEng</w:t>
      </w:r>
      <w:r w:rsidR="001D5C19">
        <w:rPr>
          <w:rFonts w:cstheme="minorHAnsi"/>
        </w:rPr>
        <w:t>enharia</w:t>
      </w:r>
      <w:proofErr w:type="spellEnd"/>
      <w:r w:rsidR="001D5C19">
        <w:rPr>
          <w:rFonts w:cstheme="minorHAnsi"/>
        </w:rPr>
        <w:t xml:space="preserve"> LTDA, expor o que segue, d</w:t>
      </w:r>
      <w:r w:rsidR="001D5C19" w:rsidRPr="001D5C19">
        <w:rPr>
          <w:rFonts w:cstheme="minorHAnsi"/>
        </w:rPr>
        <w:t xml:space="preserve">e acordo com manifestação </w:t>
      </w:r>
      <w:r w:rsidR="001D5C19">
        <w:rPr>
          <w:rFonts w:cstheme="minorHAnsi"/>
        </w:rPr>
        <w:t>da Secretaria Municipal de Obras e Serviços Públicos e Comissão Permanente de Licitações</w:t>
      </w:r>
    </w:p>
    <w:p w:rsidR="00215E45" w:rsidRDefault="00354651" w:rsidP="00354651">
      <w:pPr>
        <w:jc w:val="center"/>
        <w:rPr>
          <w:rFonts w:cstheme="minorHAnsi"/>
          <w:b/>
        </w:rPr>
      </w:pPr>
      <w:r w:rsidRPr="00354651">
        <w:rPr>
          <w:rFonts w:cstheme="minorHAnsi"/>
          <w:b/>
        </w:rPr>
        <w:t>ESCLARECIMENTO 01</w:t>
      </w:r>
    </w:p>
    <w:p w:rsidR="00215E45" w:rsidRDefault="00354651" w:rsidP="00610FF7">
      <w:pPr>
        <w:ind w:firstLine="1701"/>
        <w:jc w:val="both"/>
        <w:rPr>
          <w:rFonts w:cstheme="minorHAnsi"/>
        </w:rPr>
      </w:pPr>
      <w:r>
        <w:rPr>
          <w:rFonts w:cstheme="minorHAnsi"/>
        </w:rPr>
        <w:t>Quanto ao item VII – DA HABILITAÇÃO, entendemos que a comprovação da qualificação técnico-operacional poderá ser realizada mediante apresentação de atestados emitidos por pessoas jurídicas de direito público ou provado em nome da Licitante, Coligada, Controladora, Controlada, ou de entidade sujeita ao mesmo controle, sejam nacionais ou estrangeiras, sendo este último legalizado pelo respectivo consulado e traduzido por tradutor juramentado; neste caso não cabendo certidão de acervo técnico expedido pelo CREA.</w:t>
      </w:r>
    </w:p>
    <w:p w:rsidR="00707930" w:rsidRDefault="00707930" w:rsidP="00215E45">
      <w:pPr>
        <w:jc w:val="both"/>
        <w:rPr>
          <w:rFonts w:cstheme="minorHAnsi"/>
        </w:rPr>
      </w:pPr>
      <w:r>
        <w:rPr>
          <w:rFonts w:cstheme="minorHAnsi"/>
        </w:rPr>
        <w:t>Favor esclarecer se o entendimento está correto.</w:t>
      </w:r>
    </w:p>
    <w:p w:rsidR="00215E45" w:rsidRPr="00707930" w:rsidRDefault="00707930" w:rsidP="00215E45">
      <w:pPr>
        <w:jc w:val="both"/>
        <w:rPr>
          <w:rFonts w:cstheme="minorHAnsi"/>
          <w:b/>
        </w:rPr>
      </w:pPr>
      <w:r w:rsidRPr="00707930">
        <w:rPr>
          <w:rFonts w:cstheme="minorHAnsi"/>
          <w:b/>
        </w:rPr>
        <w:t xml:space="preserve">RESPOSTA: </w:t>
      </w:r>
      <w:r w:rsidR="00A96E06">
        <w:rPr>
          <w:rFonts w:cstheme="minorHAnsi"/>
          <w:b/>
        </w:rPr>
        <w:t>Existem diversas possibilidades no cenário exposto e cada atestado será analisado de</w:t>
      </w:r>
      <w:r w:rsidR="00497610">
        <w:rPr>
          <w:rFonts w:cstheme="minorHAnsi"/>
          <w:b/>
        </w:rPr>
        <w:t xml:space="preserve"> </w:t>
      </w:r>
      <w:r w:rsidR="00A96E06">
        <w:rPr>
          <w:rFonts w:cstheme="minorHAnsi"/>
          <w:b/>
        </w:rPr>
        <w:t xml:space="preserve">forma individual. Sobre os casos de coligada, controladora ou controlada, no atestado apresentado, a pessoa jurídica, público ou privada, emitente do atestado deve referenciar expressamente a empresa que está participando </w:t>
      </w:r>
      <w:proofErr w:type="gramStart"/>
      <w:r w:rsidR="00A96E06">
        <w:rPr>
          <w:rFonts w:cstheme="minorHAnsi"/>
          <w:b/>
        </w:rPr>
        <w:t>da</w:t>
      </w:r>
      <w:proofErr w:type="gramEnd"/>
      <w:r w:rsidR="00A96E06">
        <w:rPr>
          <w:rFonts w:cstheme="minorHAnsi"/>
          <w:b/>
        </w:rPr>
        <w:t xml:space="preserve"> licitação para o atestado ser aceito. Mesmo que a empresa apresente atestado em nome de outra empresa e comprove e comprove a ligação entre elas, como coligada, grupo, controlada, </w:t>
      </w:r>
      <w:proofErr w:type="gramStart"/>
      <w:r w:rsidR="00A96E06">
        <w:rPr>
          <w:rFonts w:cstheme="minorHAnsi"/>
          <w:b/>
        </w:rPr>
        <w:t>etc...</w:t>
      </w:r>
      <w:proofErr w:type="gramEnd"/>
      <w:r w:rsidR="00A96E06">
        <w:rPr>
          <w:rFonts w:cstheme="minorHAnsi"/>
          <w:b/>
        </w:rPr>
        <w:t>este não será aceito se não for direcionado no atestado a empresa licitante. As formas em que uma empresa pode utilizar atestados em nome de outra empresa são a cisão e consórcio.</w:t>
      </w:r>
    </w:p>
    <w:p w:rsidR="00215E45" w:rsidRDefault="00215E45" w:rsidP="00215E45">
      <w:pPr>
        <w:jc w:val="both"/>
        <w:rPr>
          <w:rFonts w:cstheme="minorHAnsi"/>
        </w:rPr>
      </w:pPr>
    </w:p>
    <w:p w:rsidR="00707930" w:rsidRDefault="00707930" w:rsidP="00215E45">
      <w:pPr>
        <w:jc w:val="both"/>
        <w:rPr>
          <w:rFonts w:cstheme="minorHAnsi"/>
        </w:rPr>
      </w:pPr>
    </w:p>
    <w:p w:rsidR="001B4574" w:rsidRPr="00354651" w:rsidRDefault="001B4574" w:rsidP="001B4574">
      <w:pPr>
        <w:jc w:val="center"/>
        <w:rPr>
          <w:rFonts w:cstheme="minorHAnsi"/>
          <w:b/>
        </w:rPr>
      </w:pPr>
      <w:r w:rsidRPr="00354651">
        <w:rPr>
          <w:rFonts w:cstheme="minorHAnsi"/>
          <w:b/>
        </w:rPr>
        <w:t>ESCLARECIMENTO 0</w:t>
      </w:r>
      <w:r>
        <w:rPr>
          <w:rFonts w:cstheme="minorHAnsi"/>
          <w:b/>
        </w:rPr>
        <w:t>2</w:t>
      </w:r>
    </w:p>
    <w:p w:rsidR="00095F91" w:rsidRPr="00215E45" w:rsidRDefault="00095F91" w:rsidP="00610FF7">
      <w:pPr>
        <w:ind w:firstLine="1701"/>
        <w:jc w:val="both"/>
        <w:rPr>
          <w:rFonts w:cstheme="minorHAnsi"/>
        </w:rPr>
      </w:pPr>
      <w:r w:rsidRPr="00215E45">
        <w:rPr>
          <w:rFonts w:cstheme="minorHAnsi"/>
        </w:rPr>
        <w:t xml:space="preserve">Referente ao Edital, em seu ANEXO VI MINUTA DE CONTRATO, CLÁUSULA DÉCIMA - DAS PENALIDADES À CONTRATADA, subitem “10.02 Para efeito de aplicação de multas referidas na </w:t>
      </w:r>
      <w:proofErr w:type="spellStart"/>
      <w:r w:rsidRPr="00215E45">
        <w:rPr>
          <w:rFonts w:cstheme="minorHAnsi"/>
        </w:rPr>
        <w:t>subcláusula</w:t>
      </w:r>
      <w:proofErr w:type="spellEnd"/>
      <w:r w:rsidRPr="00215E45">
        <w:rPr>
          <w:rFonts w:cstheme="minorHAnsi"/>
        </w:rPr>
        <w:t xml:space="preserve"> 10.01.02.04, às infrações são atribuídos graus, de acordo com as tabelas 1 e </w:t>
      </w:r>
      <w:proofErr w:type="gramStart"/>
      <w:r w:rsidRPr="00215E45">
        <w:rPr>
          <w:rFonts w:cstheme="minorHAnsi"/>
        </w:rPr>
        <w:t>2:”</w:t>
      </w:r>
      <w:proofErr w:type="gramEnd"/>
    </w:p>
    <w:p w:rsidR="00095F91" w:rsidRPr="00215E45" w:rsidRDefault="00095F91" w:rsidP="00215E45">
      <w:pPr>
        <w:pStyle w:val="PargrafodaLista"/>
        <w:jc w:val="both"/>
        <w:rPr>
          <w:rFonts w:cstheme="minorHAnsi"/>
        </w:rPr>
      </w:pPr>
    </w:p>
    <w:p w:rsidR="00095F91" w:rsidRPr="00215E45" w:rsidRDefault="00095F91" w:rsidP="00095F91">
      <w:pPr>
        <w:jc w:val="center"/>
        <w:rPr>
          <w:rFonts w:cstheme="minorHAnsi"/>
        </w:rPr>
      </w:pPr>
      <w:r w:rsidRPr="00215E45">
        <w:rPr>
          <w:rFonts w:cstheme="minorHAnsi"/>
        </w:rPr>
        <w:t>TABELA 1</w:t>
      </w:r>
    </w:p>
    <w:tbl>
      <w:tblPr>
        <w:tblW w:w="8191"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191"/>
        <w:gridCol w:w="5000"/>
      </w:tblGrid>
      <w:tr w:rsidR="00095F91" w:rsidRPr="00215E45" w:rsidTr="00215E45">
        <w:trPr>
          <w:trHeight w:val="180"/>
          <w:tblCellSpacing w:w="0" w:type="dxa"/>
        </w:trPr>
        <w:tc>
          <w:tcPr>
            <w:tcW w:w="3191"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GRAU</w:t>
            </w:r>
          </w:p>
        </w:tc>
        <w:tc>
          <w:tcPr>
            <w:tcW w:w="5000"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CORRESPONDÊNCIA</w:t>
            </w:r>
          </w:p>
        </w:tc>
      </w:tr>
      <w:tr w:rsidR="00095F91" w:rsidRPr="00215E45" w:rsidTr="00215E45">
        <w:trPr>
          <w:trHeight w:val="450"/>
          <w:tblCellSpacing w:w="0" w:type="dxa"/>
        </w:trPr>
        <w:tc>
          <w:tcPr>
            <w:tcW w:w="3191" w:type="dxa"/>
            <w:tcBorders>
              <w:top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1</w:t>
            </w:r>
          </w:p>
        </w:tc>
        <w:tc>
          <w:tcPr>
            <w:tcW w:w="5000" w:type="dxa"/>
            <w:tcBorders>
              <w:top w:val="outset" w:sz="6" w:space="0" w:color="000000"/>
              <w:left w:val="outset" w:sz="6" w:space="0" w:color="000000"/>
              <w:bottom w:val="outset" w:sz="6" w:space="0" w:color="000000"/>
            </w:tcBorders>
          </w:tcPr>
          <w:p w:rsidR="00095F91" w:rsidRPr="00215E45" w:rsidRDefault="00095F91" w:rsidP="009619CD">
            <w:pPr>
              <w:jc w:val="center"/>
              <w:rPr>
                <w:rFonts w:cstheme="minorHAnsi"/>
              </w:rPr>
            </w:pPr>
            <w:r w:rsidRPr="00215E45">
              <w:rPr>
                <w:rFonts w:cstheme="minorHAnsi"/>
              </w:rPr>
              <w:t>0,2% ao dia sobre o valor atualizado do contrato</w:t>
            </w:r>
          </w:p>
        </w:tc>
      </w:tr>
      <w:tr w:rsidR="00095F91" w:rsidRPr="00215E45" w:rsidTr="00215E45">
        <w:trPr>
          <w:trHeight w:val="450"/>
          <w:tblCellSpacing w:w="0" w:type="dxa"/>
        </w:trPr>
        <w:tc>
          <w:tcPr>
            <w:tcW w:w="3191" w:type="dxa"/>
            <w:tcBorders>
              <w:top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2</w:t>
            </w:r>
          </w:p>
        </w:tc>
        <w:tc>
          <w:tcPr>
            <w:tcW w:w="5000" w:type="dxa"/>
            <w:tcBorders>
              <w:top w:val="outset" w:sz="6" w:space="0" w:color="000000"/>
              <w:left w:val="outset" w:sz="6" w:space="0" w:color="000000"/>
              <w:bottom w:val="outset" w:sz="6" w:space="0" w:color="000000"/>
            </w:tcBorders>
          </w:tcPr>
          <w:p w:rsidR="00095F91" w:rsidRPr="00215E45" w:rsidRDefault="00095F91" w:rsidP="009619CD">
            <w:pPr>
              <w:jc w:val="center"/>
              <w:rPr>
                <w:rFonts w:cstheme="minorHAnsi"/>
              </w:rPr>
            </w:pPr>
            <w:r w:rsidRPr="00215E45">
              <w:rPr>
                <w:rFonts w:cstheme="minorHAnsi"/>
              </w:rPr>
              <w:t>0,4% ao dia sobre o valor atualizado do contrato</w:t>
            </w:r>
          </w:p>
        </w:tc>
      </w:tr>
      <w:tr w:rsidR="00095F91" w:rsidRPr="00215E45" w:rsidTr="00215E45">
        <w:trPr>
          <w:trHeight w:val="450"/>
          <w:tblCellSpacing w:w="0" w:type="dxa"/>
        </w:trPr>
        <w:tc>
          <w:tcPr>
            <w:tcW w:w="3191" w:type="dxa"/>
            <w:tcBorders>
              <w:top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3</w:t>
            </w:r>
          </w:p>
        </w:tc>
        <w:tc>
          <w:tcPr>
            <w:tcW w:w="5000" w:type="dxa"/>
            <w:tcBorders>
              <w:top w:val="outset" w:sz="6" w:space="0" w:color="000000"/>
              <w:left w:val="outset" w:sz="6" w:space="0" w:color="000000"/>
              <w:bottom w:val="outset" w:sz="6" w:space="0" w:color="000000"/>
            </w:tcBorders>
          </w:tcPr>
          <w:p w:rsidR="00095F91" w:rsidRPr="00215E45" w:rsidRDefault="00095F91" w:rsidP="009619CD">
            <w:pPr>
              <w:jc w:val="center"/>
              <w:rPr>
                <w:rFonts w:cstheme="minorHAnsi"/>
              </w:rPr>
            </w:pPr>
            <w:r w:rsidRPr="00215E45">
              <w:rPr>
                <w:rFonts w:cstheme="minorHAnsi"/>
              </w:rPr>
              <w:t>0,8% ao dia sobre o valor atualizado do contrato</w:t>
            </w:r>
          </w:p>
        </w:tc>
      </w:tr>
      <w:tr w:rsidR="00095F91" w:rsidRPr="00215E45" w:rsidTr="00215E45">
        <w:trPr>
          <w:trHeight w:val="450"/>
          <w:tblCellSpacing w:w="0" w:type="dxa"/>
        </w:trPr>
        <w:tc>
          <w:tcPr>
            <w:tcW w:w="3191" w:type="dxa"/>
            <w:tcBorders>
              <w:top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4</w:t>
            </w:r>
          </w:p>
        </w:tc>
        <w:tc>
          <w:tcPr>
            <w:tcW w:w="5000" w:type="dxa"/>
            <w:tcBorders>
              <w:top w:val="outset" w:sz="6" w:space="0" w:color="000000"/>
              <w:left w:val="outset" w:sz="6" w:space="0" w:color="000000"/>
              <w:bottom w:val="outset" w:sz="6" w:space="0" w:color="000000"/>
            </w:tcBorders>
          </w:tcPr>
          <w:p w:rsidR="00095F91" w:rsidRPr="00215E45" w:rsidRDefault="00095F91" w:rsidP="009619CD">
            <w:pPr>
              <w:jc w:val="center"/>
              <w:rPr>
                <w:rFonts w:cstheme="minorHAnsi"/>
              </w:rPr>
            </w:pPr>
            <w:r w:rsidRPr="00215E45">
              <w:rPr>
                <w:rFonts w:cstheme="minorHAnsi"/>
              </w:rPr>
              <w:t>1,6% ao dia sobre o valor atualizado do contrato</w:t>
            </w:r>
          </w:p>
        </w:tc>
      </w:tr>
      <w:tr w:rsidR="00095F91" w:rsidRPr="00215E45" w:rsidTr="00215E45">
        <w:trPr>
          <w:trHeight w:val="206"/>
          <w:tblCellSpacing w:w="0" w:type="dxa"/>
        </w:trPr>
        <w:tc>
          <w:tcPr>
            <w:tcW w:w="3191" w:type="dxa"/>
            <w:tcBorders>
              <w:top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5</w:t>
            </w:r>
          </w:p>
        </w:tc>
        <w:tc>
          <w:tcPr>
            <w:tcW w:w="5000" w:type="dxa"/>
            <w:tcBorders>
              <w:top w:val="outset" w:sz="6" w:space="0" w:color="000000"/>
              <w:left w:val="outset" w:sz="6" w:space="0" w:color="000000"/>
              <w:bottom w:val="outset" w:sz="6" w:space="0" w:color="000000"/>
            </w:tcBorders>
          </w:tcPr>
          <w:p w:rsidR="00095F91" w:rsidRPr="00215E45" w:rsidRDefault="00095F91" w:rsidP="009619CD">
            <w:pPr>
              <w:jc w:val="center"/>
              <w:rPr>
                <w:rFonts w:cstheme="minorHAnsi"/>
              </w:rPr>
            </w:pPr>
            <w:r w:rsidRPr="00215E45">
              <w:rPr>
                <w:rFonts w:cstheme="minorHAnsi"/>
              </w:rPr>
              <w:t>3,2% ao dia sobre o valor atualizado do contrato</w:t>
            </w:r>
          </w:p>
        </w:tc>
      </w:tr>
    </w:tbl>
    <w:p w:rsidR="00095F91" w:rsidRPr="00215E45" w:rsidRDefault="00095F91" w:rsidP="00095F91">
      <w:pPr>
        <w:jc w:val="both"/>
        <w:rPr>
          <w:rFonts w:cstheme="minorHAnsi"/>
        </w:rPr>
      </w:pPr>
    </w:p>
    <w:p w:rsidR="00095F91" w:rsidRPr="00215E45" w:rsidRDefault="00095F91" w:rsidP="00095F91">
      <w:pPr>
        <w:jc w:val="center"/>
        <w:rPr>
          <w:rFonts w:cstheme="minorHAnsi"/>
        </w:rPr>
      </w:pPr>
      <w:r w:rsidRPr="00215E45">
        <w:rPr>
          <w:rFonts w:cstheme="minorHAnsi"/>
        </w:rPr>
        <w:t>Tabela 2</w:t>
      </w:r>
    </w:p>
    <w:p w:rsidR="00095F91" w:rsidRPr="00215E45" w:rsidRDefault="00095F91" w:rsidP="00095F91">
      <w:pPr>
        <w:jc w:val="center"/>
        <w:rPr>
          <w:rFonts w:cstheme="minorHAnsi"/>
        </w:rPr>
      </w:pPr>
    </w:p>
    <w:tbl>
      <w:tblPr>
        <w:tblW w:w="82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016"/>
        <w:gridCol w:w="4487"/>
        <w:gridCol w:w="1763"/>
      </w:tblGrid>
      <w:tr w:rsidR="00095F91" w:rsidRPr="00215E45" w:rsidTr="00215E45">
        <w:trPr>
          <w:trHeight w:val="58"/>
          <w:tblCellSpacing w:w="0" w:type="dxa"/>
        </w:trPr>
        <w:tc>
          <w:tcPr>
            <w:tcW w:w="8266" w:type="dxa"/>
            <w:gridSpan w:val="3"/>
            <w:tcBorders>
              <w:top w:val="outset" w:sz="6" w:space="0" w:color="000000"/>
              <w:bottom w:val="outset" w:sz="6" w:space="0" w:color="000000"/>
            </w:tcBorders>
          </w:tcPr>
          <w:p w:rsidR="00095F91" w:rsidRPr="00215E45" w:rsidRDefault="00095F91" w:rsidP="009619CD">
            <w:pPr>
              <w:jc w:val="center"/>
              <w:rPr>
                <w:rFonts w:cstheme="minorHAnsi"/>
              </w:rPr>
            </w:pPr>
            <w:r w:rsidRPr="00215E45">
              <w:rPr>
                <w:rFonts w:cstheme="minorHAnsi"/>
              </w:rPr>
              <w:t>INFRAÇÃO</w:t>
            </w:r>
          </w:p>
        </w:tc>
      </w:tr>
      <w:tr w:rsidR="00095F91" w:rsidRPr="00215E45" w:rsidTr="00215E45">
        <w:trPr>
          <w:trHeight w:val="441"/>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ITEM</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DESCRIÇÃO</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both"/>
              <w:rPr>
                <w:rFonts w:cstheme="minorHAnsi"/>
              </w:rPr>
            </w:pPr>
            <w:r w:rsidRPr="00215E45">
              <w:rPr>
                <w:rFonts w:cstheme="minorHAnsi"/>
              </w:rPr>
              <w:t>GRAU</w:t>
            </w:r>
          </w:p>
        </w:tc>
      </w:tr>
      <w:tr w:rsidR="00095F91" w:rsidRPr="00215E45" w:rsidTr="00215E45">
        <w:trPr>
          <w:trHeight w:val="1014"/>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1</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Permitir situação que crie a possibilidade de causar dano físico, lesão corporal ou consequências letais, por ocorrência;</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05</w:t>
            </w:r>
          </w:p>
        </w:tc>
      </w:tr>
      <w:tr w:rsidR="00095F91" w:rsidRPr="00215E45" w:rsidTr="00215E45">
        <w:trPr>
          <w:trHeight w:val="999"/>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lastRenderedPageBreak/>
              <w:t>2</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Suspender ou interromper, salvo motivo de força maior ou caso fortuito, os serviços contratuais por dia e por unidade de atendimento;</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04</w:t>
            </w:r>
          </w:p>
        </w:tc>
      </w:tr>
      <w:tr w:rsidR="00095F91" w:rsidRPr="00215E45" w:rsidTr="00215E45">
        <w:trPr>
          <w:trHeight w:val="735"/>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3</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Manter funcionário sem qualificação para executar os serviços contratados, por empregado e por dia;</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03</w:t>
            </w:r>
          </w:p>
        </w:tc>
      </w:tr>
      <w:tr w:rsidR="00095F91" w:rsidRPr="00215E45" w:rsidTr="00215E45">
        <w:trPr>
          <w:trHeight w:val="720"/>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4</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Recusar-se a executar serviço determinado pela fiscalização, por serviço e por dia;</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02</w:t>
            </w:r>
          </w:p>
        </w:tc>
      </w:tr>
      <w:tr w:rsidR="00095F91" w:rsidRPr="00215E45" w:rsidTr="00215E45">
        <w:trPr>
          <w:trHeight w:val="220"/>
          <w:tblCellSpacing w:w="0" w:type="dxa"/>
        </w:trPr>
        <w:tc>
          <w:tcPr>
            <w:tcW w:w="8266" w:type="dxa"/>
            <w:gridSpan w:val="3"/>
            <w:tcBorders>
              <w:top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Para os itens a seguir, deixar de:</w:t>
            </w:r>
          </w:p>
        </w:tc>
      </w:tr>
      <w:tr w:rsidR="00095F91" w:rsidRPr="00215E45" w:rsidTr="00215E45">
        <w:trPr>
          <w:trHeight w:val="735"/>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5</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Cumprir determinação formal ou instrução complementar do órgão fiscalizador, por ocorrência;</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02</w:t>
            </w:r>
          </w:p>
        </w:tc>
      </w:tr>
      <w:tr w:rsidR="00095F91" w:rsidRPr="00215E45" w:rsidTr="00215E45">
        <w:trPr>
          <w:trHeight w:val="1014"/>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6</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Substituir empregado que se conduza de modo inconveniente ou não atenda às necessidades do serviço, por funcionário e por dia;</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01</w:t>
            </w:r>
          </w:p>
        </w:tc>
      </w:tr>
      <w:tr w:rsidR="00095F91" w:rsidRPr="00215E45" w:rsidTr="00215E45">
        <w:trPr>
          <w:trHeight w:val="1293"/>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7</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Cumprir quaisquer dos itens do Edital e seus Anexos não previstos nesta tabela de multas, após reincidência formalmente notificada pelo órgão fiscalizador, por item e por ocorrência;</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03</w:t>
            </w:r>
          </w:p>
        </w:tc>
      </w:tr>
      <w:tr w:rsidR="00095F91" w:rsidRPr="00215E45" w:rsidTr="00215E45">
        <w:trPr>
          <w:trHeight w:val="720"/>
          <w:tblCellSpacing w:w="0" w:type="dxa"/>
        </w:trPr>
        <w:tc>
          <w:tcPr>
            <w:tcW w:w="2016" w:type="dxa"/>
            <w:tcBorders>
              <w:top w:val="outset" w:sz="6" w:space="0" w:color="000000"/>
              <w:bottom w:val="outset" w:sz="6" w:space="0" w:color="000000"/>
              <w:right w:val="outset" w:sz="6" w:space="0" w:color="000000"/>
            </w:tcBorders>
            <w:vAlign w:val="center"/>
          </w:tcPr>
          <w:p w:rsidR="00095F91" w:rsidRPr="00215E45" w:rsidRDefault="00095F91" w:rsidP="009619CD">
            <w:pPr>
              <w:jc w:val="center"/>
              <w:rPr>
                <w:rFonts w:cstheme="minorHAnsi"/>
              </w:rPr>
            </w:pPr>
            <w:r w:rsidRPr="00215E45">
              <w:rPr>
                <w:rFonts w:cstheme="minorHAnsi"/>
              </w:rPr>
              <w:t>8</w:t>
            </w:r>
          </w:p>
        </w:tc>
        <w:tc>
          <w:tcPr>
            <w:tcW w:w="4487" w:type="dxa"/>
            <w:tcBorders>
              <w:top w:val="outset" w:sz="6" w:space="0" w:color="000000"/>
              <w:left w:val="outset" w:sz="6" w:space="0" w:color="000000"/>
              <w:bottom w:val="outset" w:sz="6" w:space="0" w:color="000000"/>
              <w:right w:val="outset" w:sz="6" w:space="0" w:color="000000"/>
            </w:tcBorders>
          </w:tcPr>
          <w:p w:rsidR="00095F91" w:rsidRPr="00215E45" w:rsidRDefault="00095F91" w:rsidP="009619CD">
            <w:pPr>
              <w:jc w:val="center"/>
              <w:rPr>
                <w:rFonts w:cstheme="minorHAnsi"/>
              </w:rPr>
            </w:pPr>
            <w:r w:rsidRPr="00215E45">
              <w:rPr>
                <w:rFonts w:cstheme="minorHAnsi"/>
              </w:rPr>
              <w:t>Indicar e manter durante a execução do contrato os prepostos previstos no edital/contrato;</w:t>
            </w:r>
          </w:p>
        </w:tc>
        <w:tc>
          <w:tcPr>
            <w:tcW w:w="1763" w:type="dxa"/>
            <w:tcBorders>
              <w:top w:val="outset" w:sz="6" w:space="0" w:color="000000"/>
              <w:left w:val="outset" w:sz="6" w:space="0" w:color="000000"/>
              <w:bottom w:val="outset" w:sz="6" w:space="0" w:color="000000"/>
            </w:tcBorders>
            <w:vAlign w:val="center"/>
          </w:tcPr>
          <w:p w:rsidR="00095F91" w:rsidRPr="00215E45" w:rsidRDefault="00095F91" w:rsidP="009619CD">
            <w:pPr>
              <w:jc w:val="center"/>
              <w:rPr>
                <w:rFonts w:cstheme="minorHAnsi"/>
              </w:rPr>
            </w:pPr>
            <w:r w:rsidRPr="00215E45">
              <w:rPr>
                <w:rFonts w:cstheme="minorHAnsi"/>
              </w:rPr>
              <w:t>01</w:t>
            </w:r>
          </w:p>
        </w:tc>
      </w:tr>
    </w:tbl>
    <w:p w:rsidR="00095F91" w:rsidRPr="00215E45" w:rsidRDefault="00095F91" w:rsidP="002C1DEA">
      <w:pPr>
        <w:jc w:val="both"/>
        <w:rPr>
          <w:rFonts w:cstheme="minorHAnsi"/>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Consta na Tabela 2 uma lista contendo as 8 infrações previstas na cláusula décima e que poderão eventualmente ser utilizadas para penalizar a empresa contratada. Tais infrações são também categorizadas de acordo com sua gravidade, denominado GRAU, que pode variar de 1 a 5. </w:t>
      </w:r>
    </w:p>
    <w:p w:rsidR="00215E45" w:rsidRDefault="00215E45" w:rsidP="00215E45">
      <w:pPr>
        <w:pStyle w:val="Default"/>
        <w:jc w:val="both"/>
        <w:rPr>
          <w:rFonts w:asciiTheme="minorHAnsi" w:hAnsiTheme="minorHAnsi" w:cstheme="minorHAnsi"/>
          <w:sz w:val="22"/>
          <w:szCs w:val="22"/>
        </w:rPr>
      </w:pPr>
    </w:p>
    <w:p w:rsidR="00610FF7" w:rsidRDefault="00610FF7" w:rsidP="00215E45">
      <w:pPr>
        <w:pStyle w:val="Default"/>
        <w:jc w:val="both"/>
        <w:rPr>
          <w:rFonts w:asciiTheme="minorHAnsi" w:hAnsiTheme="minorHAnsi" w:cstheme="minorHAnsi"/>
          <w:sz w:val="22"/>
          <w:szCs w:val="22"/>
        </w:rPr>
      </w:pPr>
    </w:p>
    <w:p w:rsidR="00610FF7" w:rsidRDefault="00610FF7" w:rsidP="00215E45">
      <w:pPr>
        <w:pStyle w:val="Default"/>
        <w:jc w:val="both"/>
        <w:rPr>
          <w:rFonts w:asciiTheme="minorHAnsi" w:hAnsiTheme="minorHAnsi" w:cstheme="minorHAnsi"/>
          <w:sz w:val="22"/>
          <w:szCs w:val="22"/>
        </w:rPr>
      </w:pPr>
    </w:p>
    <w:p w:rsidR="00610FF7" w:rsidRDefault="00610FF7" w:rsidP="00215E45">
      <w:pPr>
        <w:pStyle w:val="Default"/>
        <w:jc w:val="both"/>
        <w:rPr>
          <w:rFonts w:asciiTheme="minorHAnsi" w:hAnsiTheme="minorHAnsi" w:cstheme="minorHAnsi"/>
          <w:sz w:val="22"/>
          <w:szCs w:val="22"/>
        </w:rPr>
      </w:pPr>
    </w:p>
    <w:p w:rsidR="00610FF7" w:rsidRPr="00215E45" w:rsidRDefault="00610FF7" w:rsidP="00215E45">
      <w:pPr>
        <w:pStyle w:val="Default"/>
        <w:jc w:val="both"/>
        <w:rPr>
          <w:rFonts w:asciiTheme="minorHAnsi" w:hAnsiTheme="minorHAnsi" w:cstheme="minorHAnsi"/>
          <w:sz w:val="22"/>
          <w:szCs w:val="22"/>
        </w:rPr>
      </w:pPr>
    </w:p>
    <w:p w:rsidR="00095F91" w:rsidRDefault="00095F91" w:rsidP="00610FF7">
      <w:pPr>
        <w:ind w:firstLine="1701"/>
        <w:jc w:val="both"/>
        <w:rPr>
          <w:rFonts w:cstheme="minorHAnsi"/>
        </w:rPr>
      </w:pPr>
      <w:r w:rsidRPr="00215E45">
        <w:rPr>
          <w:rFonts w:cstheme="minorHAnsi"/>
        </w:rPr>
        <w:t xml:space="preserve">Na Tabela 1, por sua vez, os 5 graus de infrações são listados e detalhados fazendo correspondência com o percentual a ser utilizado para cálculo da penalidade. Nota-se por sua vez que em todos os graus, o percentual aplicado ao dia incide </w:t>
      </w:r>
      <w:r w:rsidRPr="00215E45">
        <w:rPr>
          <w:rFonts w:cstheme="minorHAnsi"/>
          <w:b/>
          <w:bCs/>
        </w:rPr>
        <w:t>sobre o valor atualizado do contrato</w:t>
      </w:r>
      <w:r w:rsidRPr="00215E45">
        <w:rPr>
          <w:rFonts w:cstheme="minorHAnsi"/>
        </w:rPr>
        <w:t xml:space="preserve">, o que </w:t>
      </w:r>
      <w:r w:rsidRPr="00215E45">
        <w:rPr>
          <w:rFonts w:cstheme="minorHAnsi"/>
          <w:b/>
          <w:bCs/>
        </w:rPr>
        <w:t xml:space="preserve">em nosso entendimento trata-se de um equívoco </w:t>
      </w:r>
      <w:r w:rsidRPr="00215E45">
        <w:rPr>
          <w:rFonts w:cstheme="minorHAnsi"/>
        </w:rPr>
        <w:t>que será detalhado a seguir.</w:t>
      </w: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Tendo como exemplo uma situação hipotética em que a empresa contratada, deixe de cumprir o atendimento/solicitação de manutenção de apenas um ponto luminoso por um dia, utilizando as Tabelas indicadas, a penalidade para o atraso desse único ponto será calculada sobre o valor atualizado do contrato. A desproporcionalidade exemplificada também pode ser notada nas infrações 2, 4 e 7 da Tabela 2. </w:t>
      </w:r>
    </w:p>
    <w:p w:rsidR="00215E45" w:rsidRPr="00215E45" w:rsidRDefault="00215E45" w:rsidP="00215E45">
      <w:pPr>
        <w:pStyle w:val="Default"/>
        <w:jc w:val="both"/>
        <w:rPr>
          <w:rFonts w:asciiTheme="minorHAnsi" w:hAnsiTheme="minorHAnsi" w:cstheme="minorHAnsi"/>
          <w:sz w:val="22"/>
          <w:szCs w:val="22"/>
        </w:rPr>
      </w:pPr>
    </w:p>
    <w:p w:rsidR="00095F91" w:rsidRPr="00215E45" w:rsidRDefault="00095F91" w:rsidP="00610FF7">
      <w:pPr>
        <w:ind w:firstLine="1701"/>
        <w:jc w:val="both"/>
        <w:rPr>
          <w:rFonts w:cstheme="minorHAnsi"/>
          <w:i/>
          <w:iCs/>
        </w:rPr>
      </w:pPr>
      <w:r w:rsidRPr="00215E45">
        <w:rPr>
          <w:rFonts w:cstheme="minorHAnsi"/>
        </w:rPr>
        <w:t xml:space="preserve">Conforme orientação do STJ, a imposição de sanções </w:t>
      </w:r>
      <w:r w:rsidRPr="00215E45">
        <w:rPr>
          <w:rFonts w:cstheme="minorHAnsi"/>
          <w:i/>
          <w:iCs/>
        </w:rPr>
        <w:t xml:space="preserve">“somente pode ser interpretada com base na </w:t>
      </w:r>
      <w:r w:rsidRPr="00215E45">
        <w:rPr>
          <w:rFonts w:cstheme="minorHAnsi"/>
          <w:b/>
          <w:bCs/>
          <w:i/>
          <w:iCs/>
        </w:rPr>
        <w:t>razoabilidade</w:t>
      </w:r>
      <w:r w:rsidRPr="00215E45">
        <w:rPr>
          <w:rFonts w:cstheme="minorHAnsi"/>
          <w:i/>
          <w:iCs/>
        </w:rPr>
        <w:t xml:space="preserve">, adotando, entre outros critérios, a própria gravidade do descumprimento do contrato, a noção de adimplemento substancial, </w:t>
      </w:r>
      <w:r w:rsidRPr="00215E45">
        <w:rPr>
          <w:rFonts w:cstheme="minorHAnsi"/>
          <w:b/>
          <w:bCs/>
          <w:i/>
          <w:iCs/>
        </w:rPr>
        <w:t>e a proporcionalidade</w:t>
      </w:r>
      <w:r w:rsidRPr="00215E45">
        <w:rPr>
          <w:rFonts w:cstheme="minorHAnsi"/>
          <w:i/>
          <w:iCs/>
        </w:rPr>
        <w:t>” (</w:t>
      </w:r>
      <w:proofErr w:type="spellStart"/>
      <w:r w:rsidRPr="00215E45">
        <w:rPr>
          <w:rFonts w:cstheme="minorHAnsi"/>
          <w:i/>
          <w:iCs/>
        </w:rPr>
        <w:t>REsp</w:t>
      </w:r>
      <w:proofErr w:type="spellEnd"/>
      <w:r w:rsidRPr="00215E45">
        <w:rPr>
          <w:rFonts w:cstheme="minorHAnsi"/>
          <w:i/>
          <w:iCs/>
        </w:rPr>
        <w:t xml:space="preserve"> 914087/RJ, Rel. Min. JOSÉ DELGADO, 1ª Turma, DJ. 29.10.2007). (</w:t>
      </w:r>
      <w:proofErr w:type="gramStart"/>
      <w:r w:rsidRPr="00215E45">
        <w:rPr>
          <w:rFonts w:cstheme="minorHAnsi"/>
          <w:i/>
          <w:iCs/>
        </w:rPr>
        <w:t>grifo</w:t>
      </w:r>
      <w:proofErr w:type="gramEnd"/>
      <w:r w:rsidRPr="00215E45">
        <w:rPr>
          <w:rFonts w:cstheme="minorHAnsi"/>
          <w:i/>
          <w:iCs/>
        </w:rPr>
        <w:t xml:space="preserve"> nosso)</w:t>
      </w:r>
    </w:p>
    <w:p w:rsidR="00095F91" w:rsidRDefault="00095F91" w:rsidP="00610FF7">
      <w:pPr>
        <w:pStyle w:val="Default"/>
        <w:ind w:firstLine="1843"/>
        <w:rPr>
          <w:rFonts w:asciiTheme="minorHAnsi" w:hAnsiTheme="minorHAnsi" w:cstheme="minorHAnsi"/>
          <w:sz w:val="22"/>
          <w:szCs w:val="22"/>
        </w:rPr>
      </w:pPr>
      <w:r w:rsidRPr="00215E45">
        <w:rPr>
          <w:rFonts w:asciiTheme="minorHAnsi" w:hAnsiTheme="minorHAnsi" w:cstheme="minorHAnsi"/>
          <w:sz w:val="22"/>
          <w:szCs w:val="22"/>
        </w:rPr>
        <w:t xml:space="preserve">Sobre isso, MARÇAL JUSTEN FILHO ensina que: </w:t>
      </w:r>
    </w:p>
    <w:p w:rsidR="00215E45" w:rsidRPr="00215E45" w:rsidRDefault="00215E45" w:rsidP="00095F91">
      <w:pPr>
        <w:pStyle w:val="Default"/>
        <w:rPr>
          <w:rFonts w:asciiTheme="minorHAnsi" w:hAnsiTheme="minorHAnsi" w:cstheme="minorHAnsi"/>
          <w:sz w:val="22"/>
          <w:szCs w:val="22"/>
        </w:rPr>
      </w:pPr>
    </w:p>
    <w:p w:rsidR="00095F91" w:rsidRPr="00215E45" w:rsidRDefault="00095F91" w:rsidP="00215E45">
      <w:pPr>
        <w:ind w:left="1843"/>
        <w:jc w:val="both"/>
        <w:rPr>
          <w:rFonts w:cstheme="minorHAnsi"/>
        </w:rPr>
      </w:pPr>
      <w:r w:rsidRPr="00215E45">
        <w:rPr>
          <w:rFonts w:cstheme="minorHAnsi"/>
        </w:rPr>
        <w:t xml:space="preserve">Ainda que se insista acerca da legalidade e da ausência de discricionariedade, é pacífico que </w:t>
      </w:r>
      <w:r w:rsidRPr="00215E45">
        <w:rPr>
          <w:rFonts w:cstheme="minorHAnsi"/>
          <w:b/>
          <w:bCs/>
        </w:rPr>
        <w:t xml:space="preserve">o </w:t>
      </w:r>
      <w:proofErr w:type="spellStart"/>
      <w:r w:rsidRPr="00215E45">
        <w:rPr>
          <w:rFonts w:cstheme="minorHAnsi"/>
          <w:b/>
          <w:bCs/>
        </w:rPr>
        <w:t>sancionamento</w:t>
      </w:r>
      <w:proofErr w:type="spellEnd"/>
      <w:r w:rsidRPr="00215E45">
        <w:rPr>
          <w:rFonts w:cstheme="minorHAnsi"/>
          <w:b/>
          <w:bCs/>
        </w:rPr>
        <w:t xml:space="preserve"> ao infrator deve ser compatível com a gravidade e a reprovabilidade da infração</w:t>
      </w:r>
      <w:r w:rsidRPr="00215E45">
        <w:rPr>
          <w:rFonts w:cstheme="minorHAnsi"/>
        </w:rPr>
        <w:t xml:space="preserve">. </w:t>
      </w:r>
      <w:proofErr w:type="gramStart"/>
      <w:r w:rsidRPr="00215E45">
        <w:rPr>
          <w:rFonts w:cstheme="minorHAnsi"/>
        </w:rPr>
        <w:t>[...] Então</w:t>
      </w:r>
      <w:proofErr w:type="gramEnd"/>
      <w:r w:rsidRPr="00215E45">
        <w:rPr>
          <w:rFonts w:cstheme="minorHAnsi"/>
        </w:rPr>
        <w:t>, o instrumento jurídico fundamental para elaboração de uma teoria quanto às sanções atinentes à contratação administrativa reside proporcionalidade. (Comentários à lei de licitações e contratos administrativos, 17ª ed., São Paulo: RT, 2016, p. 1.342-1.343). (</w:t>
      </w:r>
      <w:proofErr w:type="gramStart"/>
      <w:r w:rsidRPr="00215E45">
        <w:rPr>
          <w:rFonts w:cstheme="minorHAnsi"/>
        </w:rPr>
        <w:t>grifo</w:t>
      </w:r>
      <w:proofErr w:type="gramEnd"/>
      <w:r w:rsidRPr="00215E45">
        <w:rPr>
          <w:rFonts w:cstheme="minorHAnsi"/>
        </w:rPr>
        <w:t xml:space="preserve"> nosso)</w:t>
      </w:r>
    </w:p>
    <w:p w:rsidR="00095F91" w:rsidRDefault="00095F91" w:rsidP="00095F91">
      <w:pPr>
        <w:pStyle w:val="Default"/>
        <w:rPr>
          <w:rFonts w:asciiTheme="minorHAnsi" w:hAnsiTheme="minorHAnsi" w:cstheme="minorHAnsi"/>
          <w:sz w:val="22"/>
          <w:szCs w:val="22"/>
        </w:rPr>
      </w:pPr>
    </w:p>
    <w:p w:rsidR="00215E45" w:rsidRDefault="00215E45"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Não resta dúvida, portanto, que as penalidades/infrações, da maneira que constam em processo licitatório estão em desacordo com os princípios legais da licitação, da Proporcionalidade e da Razoabilidade. </w:t>
      </w:r>
    </w:p>
    <w:p w:rsidR="00215E45" w:rsidRDefault="00215E45" w:rsidP="00095F91">
      <w:pPr>
        <w:pStyle w:val="Default"/>
        <w:rPr>
          <w:rFonts w:asciiTheme="minorHAnsi" w:hAnsiTheme="minorHAnsi" w:cstheme="minorHAnsi"/>
          <w:sz w:val="22"/>
          <w:szCs w:val="22"/>
        </w:rPr>
      </w:pPr>
    </w:p>
    <w:p w:rsidR="00215E45" w:rsidRPr="00215E45" w:rsidRDefault="00215E45" w:rsidP="00215E45">
      <w:pPr>
        <w:jc w:val="both"/>
        <w:rPr>
          <w:rFonts w:cstheme="minorHAnsi"/>
        </w:rPr>
      </w:pPr>
      <w:r w:rsidRPr="00215E45">
        <w:rPr>
          <w:rFonts w:cstheme="minorHAnsi"/>
        </w:rPr>
        <w:t>Diante do exposto, solicitamos.</w:t>
      </w:r>
    </w:p>
    <w:p w:rsidR="00215E45" w:rsidRPr="00215E45" w:rsidRDefault="00215E45" w:rsidP="00095F91">
      <w:pPr>
        <w:pStyle w:val="Default"/>
        <w:rPr>
          <w:rFonts w:asciiTheme="minorHAnsi" w:hAnsiTheme="minorHAnsi" w:cstheme="minorHAnsi"/>
          <w:sz w:val="22"/>
          <w:szCs w:val="22"/>
        </w:rPr>
      </w:pPr>
    </w:p>
    <w:p w:rsidR="00095F91" w:rsidRPr="00215E45" w:rsidRDefault="00095F91" w:rsidP="00215E45">
      <w:pPr>
        <w:pStyle w:val="Default"/>
        <w:spacing w:after="135"/>
        <w:jc w:val="both"/>
        <w:rPr>
          <w:rFonts w:asciiTheme="minorHAnsi" w:hAnsiTheme="minorHAnsi" w:cstheme="minorHAnsi"/>
          <w:sz w:val="22"/>
          <w:szCs w:val="22"/>
        </w:rPr>
      </w:pPr>
      <w:r w:rsidRPr="00215E45">
        <w:rPr>
          <w:rFonts w:asciiTheme="minorHAnsi" w:hAnsiTheme="minorHAnsi" w:cstheme="minorHAnsi"/>
          <w:b/>
          <w:bCs/>
          <w:sz w:val="22"/>
          <w:szCs w:val="22"/>
        </w:rPr>
        <w:t xml:space="preserve">1.1. </w:t>
      </w:r>
      <w:r w:rsidRPr="00215E45">
        <w:rPr>
          <w:rFonts w:asciiTheme="minorHAnsi" w:hAnsiTheme="minorHAnsi" w:cstheme="minorHAnsi"/>
          <w:sz w:val="22"/>
          <w:szCs w:val="22"/>
        </w:rPr>
        <w:t xml:space="preserve">Favor confirmar entendimento que as eventuais penalidades/infrações devem ser aplicadas ao dia </w:t>
      </w:r>
      <w:r w:rsidRPr="00215E45">
        <w:rPr>
          <w:rFonts w:asciiTheme="minorHAnsi" w:hAnsiTheme="minorHAnsi" w:cstheme="minorHAnsi"/>
          <w:b/>
          <w:bCs/>
          <w:sz w:val="22"/>
          <w:szCs w:val="22"/>
        </w:rPr>
        <w:t>sobre o valor do serviço e/ou item e/ou ponto luminoso efetivamente em atraso</w:t>
      </w:r>
      <w:r w:rsidRPr="00215E45">
        <w:rPr>
          <w:rFonts w:asciiTheme="minorHAnsi" w:hAnsiTheme="minorHAnsi" w:cstheme="minorHAnsi"/>
          <w:sz w:val="22"/>
          <w:szCs w:val="22"/>
        </w:rPr>
        <w:t xml:space="preserve">; </w:t>
      </w:r>
    </w:p>
    <w:p w:rsidR="00095F91" w:rsidRPr="00215E45" w:rsidRDefault="00095F91" w:rsidP="00215E45">
      <w:pPr>
        <w:pStyle w:val="Default"/>
        <w:jc w:val="both"/>
        <w:rPr>
          <w:rFonts w:asciiTheme="minorHAnsi" w:hAnsiTheme="minorHAnsi" w:cstheme="minorHAnsi"/>
          <w:sz w:val="22"/>
          <w:szCs w:val="22"/>
        </w:rPr>
      </w:pPr>
      <w:r w:rsidRPr="00215E45">
        <w:rPr>
          <w:rFonts w:asciiTheme="minorHAnsi" w:hAnsiTheme="minorHAnsi" w:cstheme="minorHAnsi"/>
          <w:b/>
          <w:bCs/>
          <w:sz w:val="22"/>
          <w:szCs w:val="22"/>
        </w:rPr>
        <w:t xml:space="preserve">1.2. </w:t>
      </w:r>
      <w:r w:rsidRPr="00215E45">
        <w:rPr>
          <w:rFonts w:asciiTheme="minorHAnsi" w:hAnsiTheme="minorHAnsi" w:cstheme="minorHAnsi"/>
          <w:sz w:val="22"/>
          <w:szCs w:val="22"/>
        </w:rPr>
        <w:t xml:space="preserve">Favor esclarecer como ocorrerá o processo de diligências das penalidades/infrações que eventualmente sejam cometidas pela empresa contratada. </w:t>
      </w:r>
    </w:p>
    <w:p w:rsidR="00095F91" w:rsidRPr="00215E45" w:rsidRDefault="00095F91" w:rsidP="00095F91">
      <w:pPr>
        <w:pStyle w:val="Default"/>
        <w:rPr>
          <w:rFonts w:asciiTheme="minorHAnsi" w:hAnsiTheme="minorHAnsi" w:cstheme="minorHAnsi"/>
          <w:sz w:val="22"/>
          <w:szCs w:val="22"/>
        </w:rPr>
      </w:pPr>
    </w:p>
    <w:p w:rsidR="00095F91" w:rsidRDefault="00095F91" w:rsidP="00215E45">
      <w:pPr>
        <w:pStyle w:val="Default"/>
        <w:jc w:val="both"/>
        <w:rPr>
          <w:rFonts w:asciiTheme="minorHAnsi" w:hAnsiTheme="minorHAnsi" w:cstheme="minorHAnsi"/>
          <w:i/>
          <w:iCs/>
          <w:sz w:val="22"/>
          <w:szCs w:val="22"/>
        </w:rPr>
      </w:pPr>
      <w:r w:rsidRPr="00215E45">
        <w:rPr>
          <w:rFonts w:asciiTheme="minorHAnsi" w:hAnsiTheme="minorHAnsi" w:cstheme="minorHAnsi"/>
          <w:b/>
          <w:bCs/>
          <w:sz w:val="22"/>
          <w:szCs w:val="22"/>
        </w:rPr>
        <w:t xml:space="preserve">2. </w:t>
      </w:r>
      <w:r w:rsidRPr="00215E45">
        <w:rPr>
          <w:rFonts w:asciiTheme="minorHAnsi" w:hAnsiTheme="minorHAnsi" w:cstheme="minorHAnsi"/>
          <w:sz w:val="22"/>
          <w:szCs w:val="22"/>
        </w:rPr>
        <w:t xml:space="preserve">Referente ao EDITAL, ANEXO VI MINUTA DE CONTRATO, CLÁUSULA DÉCIMA TERCEIRA – DAS OBRIGAÇÕES DA CONTRATADA, subitem </w:t>
      </w:r>
      <w:r w:rsidRPr="00215E45">
        <w:rPr>
          <w:rFonts w:asciiTheme="minorHAnsi" w:hAnsiTheme="minorHAnsi" w:cstheme="minorHAnsi"/>
          <w:i/>
          <w:iCs/>
          <w:sz w:val="22"/>
          <w:szCs w:val="22"/>
        </w:rPr>
        <w:t xml:space="preserve">“13.06 A garantia deve cobrir todas as situações previstas na portaria 20 do INMETRO, mesmo sem a utilização do condutor </w:t>
      </w:r>
      <w:proofErr w:type="gramStart"/>
      <w:r w:rsidRPr="00215E45">
        <w:rPr>
          <w:rFonts w:asciiTheme="minorHAnsi" w:hAnsiTheme="minorHAnsi" w:cstheme="minorHAnsi"/>
          <w:i/>
          <w:iCs/>
          <w:sz w:val="22"/>
          <w:szCs w:val="22"/>
        </w:rPr>
        <w:t>terra.”</w:t>
      </w:r>
      <w:proofErr w:type="gramEnd"/>
      <w:r w:rsidRPr="00215E45">
        <w:rPr>
          <w:rFonts w:asciiTheme="minorHAnsi" w:hAnsiTheme="minorHAnsi" w:cstheme="minorHAnsi"/>
          <w:i/>
          <w:iCs/>
          <w:sz w:val="22"/>
          <w:szCs w:val="22"/>
        </w:rPr>
        <w:t xml:space="preserve"> </w:t>
      </w:r>
    </w:p>
    <w:p w:rsidR="00215E45" w:rsidRDefault="00215E45" w:rsidP="00215E45">
      <w:pPr>
        <w:pStyle w:val="Default"/>
        <w:jc w:val="both"/>
        <w:rPr>
          <w:rFonts w:asciiTheme="minorHAnsi" w:hAnsiTheme="minorHAnsi" w:cstheme="minorHAnsi"/>
          <w:sz w:val="22"/>
          <w:szCs w:val="22"/>
        </w:rPr>
      </w:pPr>
    </w:p>
    <w:p w:rsidR="00E760D3" w:rsidRPr="00215E45" w:rsidRDefault="00E760D3" w:rsidP="00215E45">
      <w:pPr>
        <w:pStyle w:val="Default"/>
        <w:jc w:val="both"/>
        <w:rPr>
          <w:rFonts w:asciiTheme="minorHAnsi" w:hAnsiTheme="minorHAnsi" w:cstheme="minorHAnsi"/>
          <w:sz w:val="22"/>
          <w:szCs w:val="22"/>
        </w:rPr>
      </w:pPr>
    </w:p>
    <w:p w:rsidR="00095F91" w:rsidRDefault="00095F91" w:rsidP="00610FF7">
      <w:pPr>
        <w:pStyle w:val="Default"/>
        <w:ind w:firstLine="1701"/>
        <w:jc w:val="both"/>
        <w:rPr>
          <w:rFonts w:asciiTheme="minorHAnsi" w:hAnsiTheme="minorHAnsi" w:cstheme="minorHAnsi"/>
          <w:i/>
          <w:iCs/>
          <w:sz w:val="22"/>
          <w:szCs w:val="22"/>
        </w:rPr>
      </w:pPr>
      <w:r w:rsidRPr="00215E45">
        <w:rPr>
          <w:rFonts w:asciiTheme="minorHAnsi" w:hAnsiTheme="minorHAnsi" w:cstheme="minorHAnsi"/>
          <w:sz w:val="22"/>
          <w:szCs w:val="22"/>
        </w:rPr>
        <w:t xml:space="preserve">Referente também ao ANEXO I – PROJETO BÁSICO, Item 04 – FINALIZAÇÃO DOS SERVIÇOS, subitem </w:t>
      </w:r>
      <w:r w:rsidRPr="00215E45">
        <w:rPr>
          <w:rFonts w:asciiTheme="minorHAnsi" w:hAnsiTheme="minorHAnsi" w:cstheme="minorHAnsi"/>
          <w:i/>
          <w:iCs/>
          <w:sz w:val="22"/>
          <w:szCs w:val="22"/>
        </w:rPr>
        <w:t xml:space="preserve">“4.06 Conforme regulamentado pela empresa CPFL paulista na GED 15132, atualmente não é permitido conectar o condutor terra da luminária ao neutro da companhia, e não existe outra estrutura de aterramento disponível nos locais. Caso esse item da norma seja alterado ou até mesmo a norma revogada até o início das instalações, ficará a critério da empresa vencedora a forma como será executado o aterramento da luminária, desde que não contrarie os requisitos da companhia CPFL </w:t>
      </w:r>
      <w:proofErr w:type="gramStart"/>
      <w:r w:rsidRPr="00215E45">
        <w:rPr>
          <w:rFonts w:asciiTheme="minorHAnsi" w:hAnsiTheme="minorHAnsi" w:cstheme="minorHAnsi"/>
          <w:i/>
          <w:iCs/>
          <w:sz w:val="22"/>
          <w:szCs w:val="22"/>
        </w:rPr>
        <w:t>Paulista.”</w:t>
      </w:r>
      <w:proofErr w:type="gramEnd"/>
      <w:r w:rsidRPr="00215E45">
        <w:rPr>
          <w:rFonts w:asciiTheme="minorHAnsi" w:hAnsiTheme="minorHAnsi" w:cstheme="minorHAnsi"/>
          <w:i/>
          <w:iCs/>
          <w:sz w:val="22"/>
          <w:szCs w:val="22"/>
        </w:rPr>
        <w:t xml:space="preserve"> </w:t>
      </w:r>
    </w:p>
    <w:p w:rsidR="00215E45" w:rsidRPr="00215E45" w:rsidRDefault="00215E45" w:rsidP="00215E45">
      <w:pPr>
        <w:pStyle w:val="Default"/>
        <w:jc w:val="both"/>
        <w:rPr>
          <w:rFonts w:asciiTheme="minorHAnsi" w:hAnsiTheme="minorHAnsi" w:cstheme="minorHAnsi"/>
          <w:sz w:val="22"/>
          <w:szCs w:val="22"/>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Após análise dos itens supracitados entendemos que é responsabilidade da contratada cumprimento das normas e padrões da concessionária local supracitados, que também contempla a Norma Técnica NT 15132 da CPFL, especialmente na determinação de rede de aterramento independente para instalação de luminária LED. </w:t>
      </w:r>
    </w:p>
    <w:p w:rsidR="00215E45" w:rsidRPr="00215E45" w:rsidRDefault="00215E45" w:rsidP="00215E45">
      <w:pPr>
        <w:pStyle w:val="Default"/>
        <w:jc w:val="both"/>
        <w:rPr>
          <w:rFonts w:asciiTheme="minorHAnsi" w:hAnsiTheme="minorHAnsi" w:cstheme="minorHAnsi"/>
          <w:sz w:val="22"/>
          <w:szCs w:val="22"/>
        </w:rPr>
      </w:pPr>
    </w:p>
    <w:p w:rsidR="00095F91" w:rsidRPr="00215E45" w:rsidRDefault="00095F91" w:rsidP="00610FF7">
      <w:pPr>
        <w:ind w:firstLine="1701"/>
        <w:jc w:val="both"/>
        <w:rPr>
          <w:rFonts w:cstheme="minorHAnsi"/>
        </w:rPr>
      </w:pPr>
      <w:r w:rsidRPr="00215E45">
        <w:rPr>
          <w:rFonts w:cstheme="minorHAnsi"/>
        </w:rPr>
        <w:t>Para o correto funcionamento das luminárias LED é imprescindível o aterramento das mesmas, sendo este, inclusive, ponto de controle dos fabricantes para manutenção da garantia de 5 anos dos produtos. Portanto não é aceitável tecnicamente a instalação de luminárias LED sem aterramento.</w:t>
      </w:r>
    </w:p>
    <w:p w:rsidR="00095F91" w:rsidRPr="00215E45"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Diante do exposto, não resta dúvida que não é possível cumprir a exigência que consta em item 13.06 da MINUTA, visto que cabe a empresa CONTRATADA executar os serviços sob sua responsabilidade em conformidade com normas estabelecidas pela concessionária de energia local (CFPL) e também com o estabelecido em item 4.06 do ANEXO I – PROJETO BÁSICO. </w:t>
      </w:r>
    </w:p>
    <w:p w:rsidR="00E760D3" w:rsidRDefault="00E760D3" w:rsidP="00215E45">
      <w:pPr>
        <w:pStyle w:val="Default"/>
        <w:jc w:val="both"/>
        <w:rPr>
          <w:rFonts w:asciiTheme="minorHAnsi" w:hAnsiTheme="minorHAnsi" w:cstheme="minorHAnsi"/>
          <w:b/>
          <w:bCs/>
          <w:sz w:val="22"/>
          <w:szCs w:val="22"/>
        </w:rPr>
      </w:pPr>
    </w:p>
    <w:p w:rsidR="00095F91" w:rsidRDefault="00095F91" w:rsidP="00610FF7">
      <w:pPr>
        <w:pStyle w:val="Default"/>
        <w:ind w:firstLine="1701"/>
        <w:jc w:val="both"/>
        <w:rPr>
          <w:rFonts w:asciiTheme="minorHAnsi" w:hAnsiTheme="minorHAnsi" w:cstheme="minorHAnsi"/>
          <w:b/>
          <w:bCs/>
          <w:sz w:val="22"/>
          <w:szCs w:val="22"/>
        </w:rPr>
      </w:pPr>
      <w:r w:rsidRPr="00215E45">
        <w:rPr>
          <w:rFonts w:asciiTheme="minorHAnsi" w:hAnsiTheme="minorHAnsi" w:cstheme="minorHAnsi"/>
          <w:b/>
          <w:bCs/>
          <w:sz w:val="22"/>
          <w:szCs w:val="22"/>
        </w:rPr>
        <w:t xml:space="preserve">Diante do exposto, solicitamos correção do item 13.06 da MINUTA, visto que NÃO é possível fornecer garantia da Luminária LED que não esteja corretamente aterrada. </w:t>
      </w:r>
    </w:p>
    <w:p w:rsidR="00215E45" w:rsidRDefault="00215E45" w:rsidP="00215E45">
      <w:pPr>
        <w:pStyle w:val="Default"/>
        <w:jc w:val="both"/>
        <w:rPr>
          <w:rFonts w:asciiTheme="minorHAnsi" w:hAnsiTheme="minorHAnsi" w:cstheme="minorHAnsi"/>
          <w:sz w:val="22"/>
          <w:szCs w:val="22"/>
        </w:rPr>
      </w:pPr>
    </w:p>
    <w:p w:rsidR="00E760D3" w:rsidRPr="00215E45" w:rsidRDefault="00E760D3" w:rsidP="00215E45">
      <w:pPr>
        <w:pStyle w:val="Default"/>
        <w:jc w:val="both"/>
        <w:rPr>
          <w:rFonts w:asciiTheme="minorHAnsi" w:hAnsiTheme="minorHAnsi" w:cstheme="minorHAnsi"/>
          <w:sz w:val="22"/>
          <w:szCs w:val="22"/>
        </w:rPr>
      </w:pPr>
    </w:p>
    <w:p w:rsidR="00095F91" w:rsidRPr="00215E45" w:rsidRDefault="00095F91" w:rsidP="00095F91">
      <w:pPr>
        <w:pStyle w:val="Default"/>
        <w:rPr>
          <w:rFonts w:asciiTheme="minorHAnsi" w:hAnsiTheme="minorHAnsi" w:cstheme="minorHAnsi"/>
          <w:sz w:val="22"/>
          <w:szCs w:val="22"/>
        </w:rPr>
      </w:pPr>
      <w:r w:rsidRPr="00215E45">
        <w:rPr>
          <w:rFonts w:asciiTheme="minorHAnsi" w:hAnsiTheme="minorHAnsi" w:cstheme="minorHAnsi"/>
          <w:b/>
          <w:bCs/>
          <w:sz w:val="22"/>
          <w:szCs w:val="22"/>
        </w:rPr>
        <w:t xml:space="preserve">3. </w:t>
      </w:r>
      <w:r w:rsidRPr="00215E45">
        <w:rPr>
          <w:rFonts w:asciiTheme="minorHAnsi" w:hAnsiTheme="minorHAnsi" w:cstheme="minorHAnsi"/>
          <w:sz w:val="22"/>
          <w:szCs w:val="22"/>
        </w:rPr>
        <w:t xml:space="preserve">Referente ao ANEXO VII – PLANILHA DE QUANTITATIVOS E PREÇOS UNITÁRIOS. </w:t>
      </w:r>
    </w:p>
    <w:p w:rsidR="00095F91" w:rsidRPr="00215E45" w:rsidRDefault="00095F91" w:rsidP="00095F91">
      <w:pPr>
        <w:pStyle w:val="Default"/>
        <w:rPr>
          <w:rFonts w:asciiTheme="minorHAnsi" w:hAnsiTheme="minorHAnsi" w:cstheme="minorHAnsi"/>
          <w:sz w:val="22"/>
          <w:szCs w:val="22"/>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No anexo supracitado é possível verificar a lista com descrição de todos os materiais e serviços a serem implementados e executados durante a vigência do contrato. Também é possível observar qual o Código e Referência da atividade utilizada pela prefeitura para estimar os preços unitários máximos propostos. Nota-se, dessa maneira que as fontes utilizadas foram, CDHU 180 - SINAPI 12/2020, Mercado e Composição. </w:t>
      </w:r>
    </w:p>
    <w:p w:rsidR="00215E45" w:rsidRPr="00215E45" w:rsidRDefault="00215E45" w:rsidP="00215E45">
      <w:pPr>
        <w:pStyle w:val="Default"/>
        <w:jc w:val="both"/>
        <w:rPr>
          <w:rFonts w:asciiTheme="minorHAnsi" w:hAnsiTheme="minorHAnsi" w:cstheme="minorHAnsi"/>
          <w:sz w:val="22"/>
          <w:szCs w:val="22"/>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A Lei 8.666/93 que estabelece normas gerais sobre licitações e contratos administrativos pertinentes a obras e serviços determina em seu Artigo 7º, § 2º, inciso II: </w:t>
      </w:r>
    </w:p>
    <w:p w:rsidR="00215E45" w:rsidRDefault="00215E45" w:rsidP="00215E45">
      <w:pPr>
        <w:pStyle w:val="Default"/>
        <w:jc w:val="both"/>
        <w:rPr>
          <w:rFonts w:asciiTheme="minorHAnsi" w:hAnsiTheme="minorHAnsi" w:cstheme="minorHAnsi"/>
          <w:sz w:val="22"/>
          <w:szCs w:val="22"/>
        </w:rPr>
      </w:pPr>
    </w:p>
    <w:p w:rsidR="00E760D3" w:rsidRDefault="00E760D3" w:rsidP="00215E45">
      <w:pPr>
        <w:pStyle w:val="Default"/>
        <w:jc w:val="both"/>
        <w:rPr>
          <w:rFonts w:asciiTheme="minorHAnsi" w:hAnsiTheme="minorHAnsi" w:cstheme="minorHAnsi"/>
          <w:sz w:val="22"/>
          <w:szCs w:val="22"/>
        </w:rPr>
      </w:pPr>
    </w:p>
    <w:p w:rsidR="00E760D3" w:rsidRDefault="00E760D3" w:rsidP="00215E45">
      <w:pPr>
        <w:pStyle w:val="Default"/>
        <w:jc w:val="both"/>
        <w:rPr>
          <w:rFonts w:asciiTheme="minorHAnsi" w:hAnsiTheme="minorHAnsi" w:cstheme="minorHAnsi"/>
          <w:sz w:val="22"/>
          <w:szCs w:val="22"/>
        </w:rPr>
      </w:pPr>
    </w:p>
    <w:p w:rsidR="00E760D3" w:rsidRDefault="00E760D3" w:rsidP="00215E45">
      <w:pPr>
        <w:pStyle w:val="Default"/>
        <w:jc w:val="both"/>
        <w:rPr>
          <w:rFonts w:asciiTheme="minorHAnsi" w:hAnsiTheme="minorHAnsi" w:cstheme="minorHAnsi"/>
          <w:sz w:val="22"/>
          <w:szCs w:val="22"/>
        </w:rPr>
      </w:pPr>
    </w:p>
    <w:p w:rsidR="00E760D3" w:rsidRDefault="00E760D3" w:rsidP="00215E45">
      <w:pPr>
        <w:pStyle w:val="Default"/>
        <w:jc w:val="both"/>
        <w:rPr>
          <w:rFonts w:asciiTheme="minorHAnsi" w:hAnsiTheme="minorHAnsi" w:cstheme="minorHAnsi"/>
          <w:sz w:val="22"/>
          <w:szCs w:val="22"/>
        </w:rPr>
      </w:pPr>
    </w:p>
    <w:p w:rsidR="00E760D3" w:rsidRPr="00215E45" w:rsidRDefault="00E760D3" w:rsidP="00215E45">
      <w:pPr>
        <w:pStyle w:val="Default"/>
        <w:jc w:val="both"/>
        <w:rPr>
          <w:rFonts w:asciiTheme="minorHAnsi" w:hAnsiTheme="minorHAnsi" w:cstheme="minorHAnsi"/>
          <w:sz w:val="22"/>
          <w:szCs w:val="22"/>
        </w:rPr>
      </w:pPr>
    </w:p>
    <w:p w:rsidR="00095F91" w:rsidRPr="00215E45" w:rsidRDefault="00095F91" w:rsidP="00E760D3">
      <w:pPr>
        <w:pStyle w:val="Default"/>
        <w:ind w:left="2268"/>
        <w:jc w:val="both"/>
        <w:rPr>
          <w:rFonts w:asciiTheme="minorHAnsi" w:hAnsiTheme="minorHAnsi" w:cstheme="minorHAnsi"/>
          <w:sz w:val="22"/>
          <w:szCs w:val="22"/>
        </w:rPr>
      </w:pPr>
      <w:r w:rsidRPr="00215E45">
        <w:rPr>
          <w:rFonts w:asciiTheme="minorHAnsi" w:hAnsiTheme="minorHAnsi" w:cstheme="minorHAnsi"/>
          <w:i/>
          <w:iCs/>
          <w:sz w:val="22"/>
          <w:szCs w:val="22"/>
        </w:rPr>
        <w:t xml:space="preserve">Art. 7º As licitações para a execução de obras e para a prestação de serviços obedecerão ao disposto neste artigo e, em particular, à seguinte </w:t>
      </w:r>
      <w:proofErr w:type="spellStart"/>
      <w:r w:rsidRPr="00215E45">
        <w:rPr>
          <w:rFonts w:asciiTheme="minorHAnsi" w:hAnsiTheme="minorHAnsi" w:cstheme="minorHAnsi"/>
          <w:i/>
          <w:iCs/>
          <w:sz w:val="22"/>
          <w:szCs w:val="22"/>
        </w:rPr>
        <w:t>seqüência</w:t>
      </w:r>
      <w:proofErr w:type="spellEnd"/>
      <w:r w:rsidRPr="00215E45">
        <w:rPr>
          <w:rFonts w:asciiTheme="minorHAnsi" w:hAnsiTheme="minorHAnsi" w:cstheme="minorHAnsi"/>
          <w:i/>
          <w:iCs/>
          <w:sz w:val="22"/>
          <w:szCs w:val="22"/>
        </w:rPr>
        <w:t xml:space="preserve">: </w:t>
      </w:r>
    </w:p>
    <w:p w:rsidR="00095F91" w:rsidRPr="00215E45" w:rsidRDefault="00095F91" w:rsidP="00E760D3">
      <w:pPr>
        <w:pStyle w:val="Default"/>
        <w:ind w:left="2268"/>
        <w:rPr>
          <w:rFonts w:asciiTheme="minorHAnsi" w:hAnsiTheme="minorHAnsi" w:cstheme="minorHAnsi"/>
          <w:sz w:val="22"/>
          <w:szCs w:val="22"/>
        </w:rPr>
      </w:pPr>
      <w:r w:rsidRPr="00215E45">
        <w:rPr>
          <w:rFonts w:asciiTheme="minorHAnsi" w:hAnsiTheme="minorHAnsi" w:cstheme="minorHAnsi"/>
          <w:i/>
          <w:iCs/>
          <w:sz w:val="22"/>
          <w:szCs w:val="22"/>
        </w:rPr>
        <w:t xml:space="preserve">(...) </w:t>
      </w:r>
    </w:p>
    <w:p w:rsidR="00095F91" w:rsidRPr="00215E45" w:rsidRDefault="00095F91" w:rsidP="00E760D3">
      <w:pPr>
        <w:pStyle w:val="Default"/>
        <w:ind w:left="2268"/>
        <w:rPr>
          <w:rFonts w:asciiTheme="minorHAnsi" w:hAnsiTheme="minorHAnsi" w:cstheme="minorHAnsi"/>
          <w:sz w:val="22"/>
          <w:szCs w:val="22"/>
        </w:rPr>
      </w:pPr>
      <w:r w:rsidRPr="00215E45">
        <w:rPr>
          <w:rFonts w:asciiTheme="minorHAnsi" w:hAnsiTheme="minorHAnsi" w:cstheme="minorHAnsi"/>
          <w:i/>
          <w:iCs/>
          <w:sz w:val="22"/>
          <w:szCs w:val="22"/>
        </w:rPr>
        <w:t xml:space="preserve">§ 2º As obras e os serviços somente poderão ser licitados quando: </w:t>
      </w:r>
    </w:p>
    <w:p w:rsidR="00095F91" w:rsidRPr="00215E45" w:rsidRDefault="00095F91" w:rsidP="00E760D3">
      <w:pPr>
        <w:pStyle w:val="Default"/>
        <w:ind w:left="2268"/>
        <w:rPr>
          <w:rFonts w:asciiTheme="minorHAnsi" w:hAnsiTheme="minorHAnsi" w:cstheme="minorHAnsi"/>
          <w:sz w:val="22"/>
          <w:szCs w:val="22"/>
        </w:rPr>
      </w:pPr>
      <w:r w:rsidRPr="00215E45">
        <w:rPr>
          <w:rFonts w:asciiTheme="minorHAnsi" w:hAnsiTheme="minorHAnsi" w:cstheme="minorHAnsi"/>
          <w:i/>
          <w:iCs/>
          <w:sz w:val="22"/>
          <w:szCs w:val="22"/>
        </w:rPr>
        <w:t xml:space="preserve">(...) </w:t>
      </w:r>
    </w:p>
    <w:p w:rsidR="00095F91" w:rsidRPr="00215E45" w:rsidRDefault="00095F91" w:rsidP="00E760D3">
      <w:pPr>
        <w:pStyle w:val="Default"/>
        <w:ind w:left="2268"/>
        <w:rPr>
          <w:rFonts w:asciiTheme="minorHAnsi" w:hAnsiTheme="minorHAnsi" w:cstheme="minorHAnsi"/>
          <w:sz w:val="22"/>
          <w:szCs w:val="22"/>
        </w:rPr>
      </w:pPr>
      <w:r w:rsidRPr="00215E45">
        <w:rPr>
          <w:rFonts w:asciiTheme="minorHAnsi" w:hAnsiTheme="minorHAnsi" w:cstheme="minorHAnsi"/>
          <w:i/>
          <w:iCs/>
          <w:sz w:val="22"/>
          <w:szCs w:val="22"/>
        </w:rPr>
        <w:t xml:space="preserve">II - </w:t>
      </w:r>
      <w:proofErr w:type="gramStart"/>
      <w:r w:rsidRPr="00215E45">
        <w:rPr>
          <w:rFonts w:asciiTheme="minorHAnsi" w:hAnsiTheme="minorHAnsi" w:cstheme="minorHAnsi"/>
          <w:b/>
          <w:bCs/>
          <w:i/>
          <w:iCs/>
          <w:sz w:val="22"/>
          <w:szCs w:val="22"/>
        </w:rPr>
        <w:t>existir</w:t>
      </w:r>
      <w:proofErr w:type="gramEnd"/>
      <w:r w:rsidRPr="00215E45">
        <w:rPr>
          <w:rFonts w:asciiTheme="minorHAnsi" w:hAnsiTheme="minorHAnsi" w:cstheme="minorHAnsi"/>
          <w:b/>
          <w:bCs/>
          <w:i/>
          <w:iCs/>
          <w:sz w:val="22"/>
          <w:szCs w:val="22"/>
        </w:rPr>
        <w:t xml:space="preserve"> orçamento detalhado em planilhas que expressem a composição de todos os seus custos unitários; </w:t>
      </w:r>
    </w:p>
    <w:p w:rsidR="00095F91" w:rsidRPr="00215E45" w:rsidRDefault="00095F91" w:rsidP="00E760D3">
      <w:pPr>
        <w:ind w:left="2268"/>
        <w:jc w:val="both"/>
        <w:rPr>
          <w:rFonts w:cstheme="minorHAnsi"/>
          <w:i/>
          <w:iCs/>
        </w:rPr>
      </w:pPr>
      <w:r w:rsidRPr="00215E45">
        <w:rPr>
          <w:rFonts w:cstheme="minorHAnsi"/>
          <w:i/>
          <w:iCs/>
        </w:rPr>
        <w:t>(</w:t>
      </w:r>
      <w:proofErr w:type="gramStart"/>
      <w:r w:rsidRPr="00215E45">
        <w:rPr>
          <w:rFonts w:cstheme="minorHAnsi"/>
          <w:i/>
          <w:iCs/>
        </w:rPr>
        <w:t>grifo</w:t>
      </w:r>
      <w:proofErr w:type="gramEnd"/>
      <w:r w:rsidRPr="00215E45">
        <w:rPr>
          <w:rFonts w:cstheme="minorHAnsi"/>
          <w:i/>
          <w:iCs/>
        </w:rPr>
        <w:t xml:space="preserve"> nosso)</w:t>
      </w:r>
    </w:p>
    <w:p w:rsidR="00095F91" w:rsidRPr="00215E45" w:rsidRDefault="00095F91" w:rsidP="00610FF7">
      <w:pPr>
        <w:ind w:firstLine="1701"/>
        <w:jc w:val="both"/>
        <w:rPr>
          <w:rFonts w:cstheme="minorHAnsi"/>
          <w:b/>
          <w:bCs/>
        </w:rPr>
      </w:pPr>
      <w:r w:rsidRPr="00215E45">
        <w:rPr>
          <w:rFonts w:cstheme="minorHAnsi"/>
          <w:b/>
          <w:bCs/>
        </w:rPr>
        <w:t>Diante do exposto, solicitamos a disponibilização das composições unitárias dos itens constantes no ANEXO VII que possuem como Código e Referência especificado como “Composição”.</w:t>
      </w:r>
    </w:p>
    <w:p w:rsidR="00095F91" w:rsidRPr="00215E45" w:rsidRDefault="00095F91" w:rsidP="00095F91">
      <w:pPr>
        <w:pStyle w:val="Default"/>
        <w:rPr>
          <w:rFonts w:asciiTheme="minorHAnsi" w:hAnsiTheme="minorHAnsi" w:cstheme="minorHAnsi"/>
          <w:sz w:val="22"/>
          <w:szCs w:val="22"/>
        </w:rPr>
      </w:pPr>
    </w:p>
    <w:p w:rsidR="00095F91" w:rsidRDefault="00095F91" w:rsidP="00215E45">
      <w:pPr>
        <w:pStyle w:val="Default"/>
        <w:jc w:val="both"/>
        <w:rPr>
          <w:rFonts w:asciiTheme="minorHAnsi" w:hAnsiTheme="minorHAnsi" w:cstheme="minorHAnsi"/>
          <w:sz w:val="22"/>
          <w:szCs w:val="22"/>
        </w:rPr>
      </w:pPr>
      <w:r w:rsidRPr="00215E45">
        <w:rPr>
          <w:rFonts w:asciiTheme="minorHAnsi" w:hAnsiTheme="minorHAnsi" w:cstheme="minorHAnsi"/>
          <w:b/>
          <w:bCs/>
          <w:sz w:val="22"/>
          <w:szCs w:val="22"/>
        </w:rPr>
        <w:t xml:space="preserve">4. </w:t>
      </w:r>
      <w:r w:rsidRPr="00215E45">
        <w:rPr>
          <w:rFonts w:asciiTheme="minorHAnsi" w:hAnsiTheme="minorHAnsi" w:cstheme="minorHAnsi"/>
          <w:sz w:val="22"/>
          <w:szCs w:val="22"/>
        </w:rPr>
        <w:t xml:space="preserve">Referente ao ANEXO VIII – BDI, consta a Composição Analítica do BDI. </w:t>
      </w:r>
    </w:p>
    <w:p w:rsidR="00215E45" w:rsidRPr="00215E45" w:rsidRDefault="00215E45" w:rsidP="00215E45">
      <w:pPr>
        <w:pStyle w:val="Default"/>
        <w:jc w:val="both"/>
        <w:rPr>
          <w:rFonts w:asciiTheme="minorHAnsi" w:hAnsiTheme="minorHAnsi" w:cstheme="minorHAnsi"/>
          <w:sz w:val="22"/>
          <w:szCs w:val="22"/>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O BDI é o elemento orçamentário destinado a cobrir todas as despesas que, num empreendimento (obra ou serviço), segundo critérios claramente definidos, classificam-se como indiretas (por simplicidade, as que não expressam diretamente nem o custeio do material nem o dos elementos operativos sobre o material — mão-de-obra, equipamento-obra, instrumento-obra etc.) e, também, necessariamente, atender o lucro. </w:t>
      </w:r>
    </w:p>
    <w:p w:rsidR="00215E45" w:rsidRPr="00215E45" w:rsidRDefault="00215E45" w:rsidP="00215E45">
      <w:pPr>
        <w:pStyle w:val="Default"/>
        <w:jc w:val="both"/>
        <w:rPr>
          <w:rFonts w:asciiTheme="minorHAnsi" w:hAnsiTheme="minorHAnsi" w:cstheme="minorHAnsi"/>
          <w:sz w:val="22"/>
          <w:szCs w:val="22"/>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Atualmente o Tribunal de Contas da União (TCU) através do Acórdão 2622/2013 tem a finalidade de definir faixas aceitáveis para valores de taxas de Benefícios e Despesas Indiretas (BDI) específicas para cada tipo de obra pública e para aquisição de materiais e equipamentos relevantes, bem como efetuar o exame detalhado da adequabilidade dos percentuais para as referidas taxas adotados em dois julgados desta Corte de Contas (Acórdãos ns.325/2007 e 2.369/2011), ambos do Plenário, com utilização de critérios contábeis e estatísticos e controle da representatividade das amostras selecionadas. </w:t>
      </w:r>
    </w:p>
    <w:p w:rsidR="00215E45" w:rsidRPr="00215E45" w:rsidRDefault="00215E45" w:rsidP="00215E45">
      <w:pPr>
        <w:pStyle w:val="Default"/>
        <w:jc w:val="both"/>
        <w:rPr>
          <w:rFonts w:asciiTheme="minorHAnsi" w:hAnsiTheme="minorHAnsi" w:cstheme="minorHAnsi"/>
          <w:sz w:val="22"/>
          <w:szCs w:val="22"/>
        </w:rPr>
      </w:pPr>
    </w:p>
    <w:p w:rsidR="00095F91" w:rsidRPr="00215E45" w:rsidRDefault="00095F91" w:rsidP="00610FF7">
      <w:pPr>
        <w:ind w:firstLine="1701"/>
        <w:jc w:val="both"/>
        <w:rPr>
          <w:rFonts w:cstheme="minorHAnsi"/>
        </w:rPr>
      </w:pPr>
      <w:r w:rsidRPr="00215E45">
        <w:rPr>
          <w:rFonts w:cstheme="minorHAnsi"/>
        </w:rPr>
        <w:t xml:space="preserve">O Acórdão 2622/2013 também institui às unidades técnicas deste Tribunal que, nas análises do orçamento de obras públicas, utilizem os parâmetros para taxas de BDI a seguir especificados, em substituição aos referenciais contidos nos Acórdãos </w:t>
      </w:r>
      <w:proofErr w:type="spellStart"/>
      <w:r w:rsidRPr="00215E45">
        <w:rPr>
          <w:rFonts w:cstheme="minorHAnsi"/>
        </w:rPr>
        <w:t>ns</w:t>
      </w:r>
      <w:proofErr w:type="spellEnd"/>
      <w:r w:rsidRPr="00215E45">
        <w:rPr>
          <w:rFonts w:cstheme="minorHAnsi"/>
        </w:rPr>
        <w:t>. 325/2007 e 2.369/2011:</w:t>
      </w:r>
    </w:p>
    <w:p w:rsidR="00095F91" w:rsidRPr="00215E45" w:rsidRDefault="00095F91" w:rsidP="00095F91">
      <w:pPr>
        <w:jc w:val="both"/>
        <w:rPr>
          <w:rFonts w:cstheme="minorHAnsi"/>
          <w:i/>
          <w:iCs/>
        </w:rPr>
      </w:pPr>
      <w:r w:rsidRPr="00215E45">
        <w:rPr>
          <w:rFonts w:cstheme="minorHAnsi"/>
          <w:i/>
          <w:iCs/>
        </w:rPr>
        <w:t>Tabela 3: Tabela que consta em Acórdão do TCU 2622/2013</w:t>
      </w:r>
    </w:p>
    <w:p w:rsidR="00095F91" w:rsidRPr="00215E45" w:rsidRDefault="00095F91" w:rsidP="00095F91">
      <w:pPr>
        <w:jc w:val="both"/>
        <w:rPr>
          <w:rFonts w:cstheme="minorHAnsi"/>
          <w:i/>
          <w:iCs/>
        </w:rPr>
      </w:pPr>
    </w:p>
    <w:p w:rsidR="00095F91" w:rsidRPr="00215E45" w:rsidRDefault="00095F91" w:rsidP="00095F91">
      <w:pPr>
        <w:jc w:val="both"/>
        <w:rPr>
          <w:rFonts w:cstheme="minorHAnsi"/>
        </w:rPr>
      </w:pPr>
      <w:r w:rsidRPr="00215E45">
        <w:rPr>
          <w:rFonts w:cstheme="minorHAnsi"/>
          <w:noProof/>
          <w:lang w:eastAsia="pt-BR"/>
        </w:rPr>
        <w:drawing>
          <wp:inline distT="0" distB="0" distL="0" distR="0">
            <wp:extent cx="5400040" cy="18700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870069"/>
                    </a:xfrm>
                    <a:prstGeom prst="rect">
                      <a:avLst/>
                    </a:prstGeom>
                    <a:noFill/>
                    <a:ln>
                      <a:noFill/>
                    </a:ln>
                  </pic:spPr>
                </pic:pic>
              </a:graphicData>
            </a:graphic>
          </wp:inline>
        </w:drawing>
      </w:r>
    </w:p>
    <w:p w:rsidR="00095F91" w:rsidRPr="00215E45" w:rsidRDefault="00095F91" w:rsidP="002C1DEA">
      <w:pPr>
        <w:jc w:val="both"/>
        <w:rPr>
          <w:rFonts w:cstheme="minorHAnsi"/>
        </w:rPr>
      </w:pPr>
    </w:p>
    <w:p w:rsidR="00095F91" w:rsidRDefault="00095F91"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Entretanto, o que se verifica no ANEXO VIII – BDI é que a TIPOLOGIA DE OBRA utilizada pelo município é referente a “Construção e Reforma de Edifícios”, ou seja, em </w:t>
      </w:r>
      <w:r w:rsidRPr="00215E45">
        <w:rPr>
          <w:rFonts w:asciiTheme="minorHAnsi" w:hAnsiTheme="minorHAnsi" w:cstheme="minorHAnsi"/>
          <w:b/>
          <w:bCs/>
          <w:sz w:val="22"/>
          <w:szCs w:val="22"/>
        </w:rPr>
        <w:t xml:space="preserve">total desacordo </w:t>
      </w:r>
      <w:r w:rsidRPr="00215E45">
        <w:rPr>
          <w:rFonts w:asciiTheme="minorHAnsi" w:hAnsiTheme="minorHAnsi" w:cstheme="minorHAnsi"/>
          <w:sz w:val="22"/>
          <w:szCs w:val="22"/>
        </w:rPr>
        <w:t xml:space="preserve">com o objeto licitado. Evidencia-se também que o BDI (com desoneração) calculado e utilizado nos preços estimados da Planilha de Quantitativo e Preços corresponde a 20%, </w:t>
      </w:r>
      <w:r w:rsidRPr="00215E45">
        <w:rPr>
          <w:rFonts w:asciiTheme="minorHAnsi" w:hAnsiTheme="minorHAnsi" w:cstheme="minorHAnsi"/>
          <w:b/>
          <w:bCs/>
          <w:sz w:val="22"/>
          <w:szCs w:val="22"/>
        </w:rPr>
        <w:t xml:space="preserve">portanto também descumprindo </w:t>
      </w:r>
      <w:r w:rsidRPr="00215E45">
        <w:rPr>
          <w:rFonts w:asciiTheme="minorHAnsi" w:hAnsiTheme="minorHAnsi" w:cstheme="minorHAnsi"/>
          <w:sz w:val="22"/>
          <w:szCs w:val="22"/>
        </w:rPr>
        <w:t xml:space="preserve">os limites definidos em Acórdão 2622/2013 e observado em Tabela 3 desse esclarecimento. </w:t>
      </w:r>
    </w:p>
    <w:p w:rsidR="00215E45" w:rsidRPr="00215E45" w:rsidRDefault="00215E45" w:rsidP="00215E45">
      <w:pPr>
        <w:pStyle w:val="Default"/>
        <w:jc w:val="both"/>
        <w:rPr>
          <w:rFonts w:asciiTheme="minorHAnsi" w:hAnsiTheme="minorHAnsi" w:cstheme="minorHAnsi"/>
          <w:sz w:val="22"/>
          <w:szCs w:val="22"/>
        </w:rPr>
      </w:pPr>
    </w:p>
    <w:p w:rsidR="00095F91" w:rsidRDefault="00095F91" w:rsidP="00610FF7">
      <w:pPr>
        <w:ind w:firstLine="1701"/>
        <w:jc w:val="both"/>
        <w:rPr>
          <w:rFonts w:cstheme="minorHAnsi"/>
        </w:rPr>
      </w:pPr>
      <w:r w:rsidRPr="00215E45">
        <w:rPr>
          <w:rFonts w:cstheme="minorHAnsi"/>
        </w:rPr>
        <w:t xml:space="preserve">Ressaltamos que o objeto licitado nessa concorrência se enquadra na tipologia “CONSTRUÇÃO E MANUTENÇÃO DE ESTAÇÕES E REDES DE DISTRIBUIÇÃO DE ENERGIA ELÉTRICA”, e seus limites variando entre o 1º e 3º quartil, 24,00% e 27,86%, conforme definido em Tabela 3 </w:t>
      </w:r>
      <w:proofErr w:type="gramStart"/>
      <w:r w:rsidRPr="00215E45">
        <w:rPr>
          <w:rFonts w:cstheme="minorHAnsi"/>
        </w:rPr>
        <w:t>desse esclarecimento oriunda</w:t>
      </w:r>
      <w:proofErr w:type="gramEnd"/>
      <w:r w:rsidRPr="00215E45">
        <w:rPr>
          <w:rFonts w:cstheme="minorHAnsi"/>
        </w:rPr>
        <w:t xml:space="preserve"> do Acórdão 2622/2013, Plenário TCU.</w:t>
      </w:r>
    </w:p>
    <w:p w:rsidR="00215E45" w:rsidRDefault="00215E45" w:rsidP="00610FF7">
      <w:pPr>
        <w:pStyle w:val="Default"/>
        <w:ind w:firstLine="1701"/>
        <w:jc w:val="both"/>
        <w:rPr>
          <w:rFonts w:asciiTheme="minorHAnsi" w:hAnsiTheme="minorHAnsi" w:cstheme="minorHAnsi"/>
          <w:sz w:val="22"/>
          <w:szCs w:val="22"/>
        </w:rPr>
      </w:pPr>
      <w:r w:rsidRPr="00215E45">
        <w:rPr>
          <w:rFonts w:asciiTheme="minorHAnsi" w:hAnsiTheme="minorHAnsi" w:cstheme="minorHAnsi"/>
          <w:sz w:val="22"/>
          <w:szCs w:val="22"/>
        </w:rPr>
        <w:t xml:space="preserve">Ante o evidenciado, é inquestionável a necessidade de alteração dos anexos supracitados para retificar os vícios elencados. Nesse sentido, O Tribunal de Contas da União já determinou a reabertura do </w:t>
      </w:r>
      <w:r w:rsidRPr="00215E45">
        <w:rPr>
          <w:rFonts w:asciiTheme="minorHAnsi" w:hAnsiTheme="minorHAnsi" w:cstheme="minorHAnsi"/>
          <w:b/>
          <w:bCs/>
          <w:sz w:val="22"/>
          <w:szCs w:val="22"/>
        </w:rPr>
        <w:t xml:space="preserve">“… prazo inicialmente estabelecido </w:t>
      </w:r>
      <w:r w:rsidRPr="00215E45">
        <w:rPr>
          <w:rFonts w:asciiTheme="minorHAnsi" w:hAnsiTheme="minorHAnsi" w:cstheme="minorHAnsi"/>
          <w:sz w:val="22"/>
          <w:szCs w:val="22"/>
        </w:rPr>
        <w:t xml:space="preserve">quando houver alteração do edital que afete a formulação de propostas, nos termos do art. 20 do Decreto nº 5.450/2005” (TCU, Acórdão nº 930/2008 – Plenário, Rel. Min. Raimundo Carreiro, j. em 21.05.2008. Item nº 9.3.2 do Acórdão. Destaque nosso). </w:t>
      </w:r>
    </w:p>
    <w:p w:rsidR="00215E45" w:rsidRPr="00215E45" w:rsidRDefault="00215E45" w:rsidP="00215E45">
      <w:pPr>
        <w:pStyle w:val="Default"/>
        <w:jc w:val="both"/>
        <w:rPr>
          <w:rFonts w:asciiTheme="minorHAnsi" w:hAnsiTheme="minorHAnsi" w:cstheme="minorHAnsi"/>
          <w:sz w:val="22"/>
          <w:szCs w:val="22"/>
        </w:rPr>
      </w:pPr>
    </w:p>
    <w:p w:rsidR="00215E45" w:rsidRDefault="00215E45" w:rsidP="00215E45">
      <w:pPr>
        <w:pStyle w:val="Default"/>
        <w:jc w:val="both"/>
        <w:rPr>
          <w:rFonts w:asciiTheme="minorHAnsi" w:hAnsiTheme="minorHAnsi" w:cstheme="minorHAnsi"/>
          <w:sz w:val="22"/>
          <w:szCs w:val="22"/>
        </w:rPr>
      </w:pPr>
      <w:r w:rsidRPr="00215E45">
        <w:rPr>
          <w:rFonts w:asciiTheme="minorHAnsi" w:hAnsiTheme="minorHAnsi" w:cstheme="minorHAnsi"/>
          <w:sz w:val="22"/>
          <w:szCs w:val="22"/>
        </w:rPr>
        <w:t xml:space="preserve">Diante do exposto, solicitamos. </w:t>
      </w:r>
    </w:p>
    <w:p w:rsidR="00095F91" w:rsidRPr="00215E45" w:rsidRDefault="00095F91" w:rsidP="00095F91">
      <w:pPr>
        <w:pStyle w:val="Default"/>
        <w:rPr>
          <w:rFonts w:asciiTheme="minorHAnsi" w:hAnsiTheme="minorHAnsi" w:cstheme="minorHAnsi"/>
          <w:sz w:val="22"/>
          <w:szCs w:val="22"/>
        </w:rPr>
      </w:pPr>
    </w:p>
    <w:p w:rsidR="00095F91" w:rsidRPr="00215E45" w:rsidRDefault="00095F91" w:rsidP="00215E45">
      <w:pPr>
        <w:pStyle w:val="Default"/>
        <w:spacing w:after="142"/>
        <w:jc w:val="both"/>
        <w:rPr>
          <w:rFonts w:asciiTheme="minorHAnsi" w:hAnsiTheme="minorHAnsi" w:cstheme="minorHAnsi"/>
          <w:sz w:val="22"/>
          <w:szCs w:val="22"/>
        </w:rPr>
      </w:pPr>
      <w:r w:rsidRPr="00215E45">
        <w:rPr>
          <w:rFonts w:asciiTheme="minorHAnsi" w:hAnsiTheme="minorHAnsi" w:cstheme="minorHAnsi"/>
          <w:b/>
          <w:bCs/>
          <w:sz w:val="22"/>
          <w:szCs w:val="22"/>
        </w:rPr>
        <w:t xml:space="preserve">4.1. </w:t>
      </w:r>
      <w:r w:rsidRPr="00215E45">
        <w:rPr>
          <w:rFonts w:asciiTheme="minorHAnsi" w:hAnsiTheme="minorHAnsi" w:cstheme="minorHAnsi"/>
          <w:sz w:val="22"/>
          <w:szCs w:val="22"/>
        </w:rPr>
        <w:t xml:space="preserve">Solicitamos correção da Tipologia de Obra utilizada pelo município para composição do BDI; </w:t>
      </w:r>
    </w:p>
    <w:p w:rsidR="00095F91" w:rsidRPr="00215E45" w:rsidRDefault="00095F91" w:rsidP="00215E45">
      <w:pPr>
        <w:pStyle w:val="Default"/>
        <w:spacing w:after="142"/>
        <w:jc w:val="both"/>
        <w:rPr>
          <w:rFonts w:asciiTheme="minorHAnsi" w:hAnsiTheme="minorHAnsi" w:cstheme="minorHAnsi"/>
          <w:sz w:val="22"/>
          <w:szCs w:val="22"/>
        </w:rPr>
      </w:pPr>
      <w:r w:rsidRPr="00215E45">
        <w:rPr>
          <w:rFonts w:asciiTheme="minorHAnsi" w:hAnsiTheme="minorHAnsi" w:cstheme="minorHAnsi"/>
          <w:b/>
          <w:bCs/>
          <w:sz w:val="22"/>
          <w:szCs w:val="22"/>
        </w:rPr>
        <w:t xml:space="preserve">4.2. </w:t>
      </w:r>
      <w:r w:rsidRPr="00215E45">
        <w:rPr>
          <w:rFonts w:asciiTheme="minorHAnsi" w:hAnsiTheme="minorHAnsi" w:cstheme="minorHAnsi"/>
          <w:sz w:val="22"/>
          <w:szCs w:val="22"/>
        </w:rPr>
        <w:t xml:space="preserve">Solicitamos correção do percentual de BDI utilizado pela prefeitura em cumprimento ao definido no Acórdão TCU 2622/2013; </w:t>
      </w:r>
    </w:p>
    <w:p w:rsidR="00095F91" w:rsidRPr="00215E45" w:rsidRDefault="00095F91" w:rsidP="00215E45">
      <w:pPr>
        <w:pStyle w:val="Default"/>
        <w:jc w:val="both"/>
        <w:rPr>
          <w:rFonts w:asciiTheme="minorHAnsi" w:hAnsiTheme="minorHAnsi" w:cstheme="minorHAnsi"/>
          <w:sz w:val="22"/>
          <w:szCs w:val="22"/>
        </w:rPr>
      </w:pPr>
      <w:r w:rsidRPr="00215E45">
        <w:rPr>
          <w:rFonts w:asciiTheme="minorHAnsi" w:hAnsiTheme="minorHAnsi" w:cstheme="minorHAnsi"/>
          <w:b/>
          <w:bCs/>
          <w:sz w:val="22"/>
          <w:szCs w:val="22"/>
        </w:rPr>
        <w:t xml:space="preserve">4.3. </w:t>
      </w:r>
      <w:r w:rsidRPr="00215E45">
        <w:rPr>
          <w:rFonts w:asciiTheme="minorHAnsi" w:hAnsiTheme="minorHAnsi" w:cstheme="minorHAnsi"/>
          <w:sz w:val="22"/>
          <w:szCs w:val="22"/>
        </w:rPr>
        <w:t xml:space="preserve">Visto que a correção no percentual do BDI, solicitado em item 4.2 desse esclarecimento, irá alterar os Preços Unitários e Valor Global licitado, e consequentemente afetará a formulação da proposta, </w:t>
      </w:r>
      <w:r w:rsidRPr="00215E45">
        <w:rPr>
          <w:rFonts w:asciiTheme="minorHAnsi" w:hAnsiTheme="minorHAnsi" w:cstheme="minorHAnsi"/>
          <w:b/>
          <w:bCs/>
          <w:sz w:val="22"/>
          <w:szCs w:val="22"/>
        </w:rPr>
        <w:t xml:space="preserve">solicitamos republicação dos documentos alterados e reabertura do prazo incialmente estabelecido. </w:t>
      </w:r>
    </w:p>
    <w:p w:rsidR="00095F91" w:rsidRPr="00215E45" w:rsidRDefault="00095F91" w:rsidP="00215E45">
      <w:pPr>
        <w:pStyle w:val="Default"/>
        <w:jc w:val="both"/>
        <w:rPr>
          <w:rFonts w:asciiTheme="minorHAnsi" w:hAnsiTheme="minorHAnsi" w:cstheme="minorHAnsi"/>
          <w:sz w:val="22"/>
          <w:szCs w:val="22"/>
        </w:rPr>
      </w:pPr>
    </w:p>
    <w:p w:rsidR="00215E45" w:rsidRDefault="00215E45" w:rsidP="00215E45">
      <w:pPr>
        <w:pStyle w:val="Default"/>
        <w:jc w:val="both"/>
        <w:rPr>
          <w:rFonts w:asciiTheme="minorHAnsi" w:hAnsiTheme="minorHAnsi" w:cstheme="minorHAnsi"/>
          <w:sz w:val="22"/>
          <w:szCs w:val="22"/>
        </w:rPr>
      </w:pPr>
    </w:p>
    <w:p w:rsidR="00215E45" w:rsidRDefault="00215E45" w:rsidP="00215E45">
      <w:pPr>
        <w:pStyle w:val="Default"/>
        <w:jc w:val="both"/>
        <w:rPr>
          <w:rFonts w:asciiTheme="minorHAnsi" w:hAnsiTheme="minorHAnsi" w:cstheme="minorHAnsi"/>
          <w:sz w:val="22"/>
          <w:szCs w:val="22"/>
        </w:rPr>
      </w:pPr>
    </w:p>
    <w:p w:rsidR="00095F91" w:rsidRPr="00215E45" w:rsidRDefault="00095F91" w:rsidP="00215E45">
      <w:pPr>
        <w:pStyle w:val="Default"/>
        <w:jc w:val="both"/>
        <w:rPr>
          <w:rFonts w:asciiTheme="minorHAnsi" w:hAnsiTheme="minorHAnsi" w:cstheme="minorHAnsi"/>
          <w:sz w:val="22"/>
          <w:szCs w:val="22"/>
        </w:rPr>
      </w:pPr>
      <w:r w:rsidRPr="00215E45">
        <w:rPr>
          <w:rFonts w:asciiTheme="minorHAnsi" w:hAnsiTheme="minorHAnsi" w:cstheme="minorHAnsi"/>
          <w:b/>
          <w:bCs/>
          <w:sz w:val="22"/>
          <w:szCs w:val="22"/>
        </w:rPr>
        <w:t xml:space="preserve">5. </w:t>
      </w:r>
      <w:r w:rsidRPr="00215E45">
        <w:rPr>
          <w:rFonts w:asciiTheme="minorHAnsi" w:hAnsiTheme="minorHAnsi" w:cstheme="minorHAnsi"/>
          <w:sz w:val="22"/>
          <w:szCs w:val="22"/>
        </w:rPr>
        <w:t xml:space="preserve">Tendo em vista o recente crescimento dos casos e mortes relacionadas ao COVID-19, as recomendações dos órgãos de saúde nacional, Ministério da Saúde, e internacional, OMS e visando a segurança como medida preventiva no combate ao avanço do </w:t>
      </w:r>
      <w:proofErr w:type="spellStart"/>
      <w:r w:rsidRPr="00215E45">
        <w:rPr>
          <w:rFonts w:asciiTheme="minorHAnsi" w:hAnsiTheme="minorHAnsi" w:cstheme="minorHAnsi"/>
          <w:sz w:val="22"/>
          <w:szCs w:val="22"/>
        </w:rPr>
        <w:t>Coronavírus</w:t>
      </w:r>
      <w:proofErr w:type="spellEnd"/>
      <w:r w:rsidRPr="00215E45">
        <w:rPr>
          <w:rFonts w:asciiTheme="minorHAnsi" w:hAnsiTheme="minorHAnsi" w:cstheme="minorHAnsi"/>
          <w:sz w:val="22"/>
          <w:szCs w:val="22"/>
        </w:rPr>
        <w:t xml:space="preserve"> (COVID-19), que impactam diretamente a elaboração e participação das empresas licitantes em processos licitatórios gerando as seguintes dificuldades: </w:t>
      </w:r>
    </w:p>
    <w:p w:rsidR="00095F91" w:rsidRPr="00215E45" w:rsidRDefault="00095F91" w:rsidP="00095F91">
      <w:pPr>
        <w:pStyle w:val="Default"/>
        <w:rPr>
          <w:rFonts w:asciiTheme="minorHAnsi" w:hAnsiTheme="minorHAnsi" w:cstheme="minorHAnsi"/>
          <w:sz w:val="22"/>
          <w:szCs w:val="22"/>
        </w:rPr>
      </w:pPr>
    </w:p>
    <w:p w:rsidR="00215E45" w:rsidRDefault="00095F91" w:rsidP="00215E45">
      <w:pPr>
        <w:pStyle w:val="Default"/>
        <w:numPr>
          <w:ilvl w:val="0"/>
          <w:numId w:val="2"/>
        </w:numPr>
        <w:ind w:left="426"/>
        <w:rPr>
          <w:rFonts w:asciiTheme="minorHAnsi" w:hAnsiTheme="minorHAnsi" w:cstheme="minorHAnsi"/>
          <w:sz w:val="22"/>
          <w:szCs w:val="22"/>
        </w:rPr>
      </w:pPr>
      <w:proofErr w:type="gramStart"/>
      <w:r w:rsidRPr="00215E45">
        <w:rPr>
          <w:rFonts w:asciiTheme="minorHAnsi" w:hAnsiTheme="minorHAnsi" w:cstheme="minorHAnsi"/>
          <w:sz w:val="22"/>
          <w:szCs w:val="22"/>
        </w:rPr>
        <w:t>limitação</w:t>
      </w:r>
      <w:proofErr w:type="gramEnd"/>
      <w:r w:rsidRPr="00215E45">
        <w:rPr>
          <w:rFonts w:asciiTheme="minorHAnsi" w:hAnsiTheme="minorHAnsi" w:cstheme="minorHAnsi"/>
          <w:sz w:val="22"/>
          <w:szCs w:val="22"/>
        </w:rPr>
        <w:t xml:space="preserve"> de empresas de outras regiões realizarem a visita técnica. </w:t>
      </w:r>
    </w:p>
    <w:p w:rsidR="00215E45" w:rsidRDefault="00215E45" w:rsidP="00095F91">
      <w:pPr>
        <w:jc w:val="both"/>
        <w:rPr>
          <w:rFonts w:cstheme="minorHAnsi"/>
        </w:rPr>
      </w:pPr>
      <w:r>
        <w:rPr>
          <w:rFonts w:cstheme="minorHAnsi"/>
        </w:rPr>
        <w:t xml:space="preserve"> </w:t>
      </w:r>
    </w:p>
    <w:p w:rsidR="00095F91" w:rsidRPr="00215E45" w:rsidRDefault="00095F91" w:rsidP="00095F91">
      <w:pPr>
        <w:jc w:val="both"/>
        <w:rPr>
          <w:rFonts w:cstheme="minorHAnsi"/>
        </w:rPr>
      </w:pPr>
      <w:r w:rsidRPr="00215E45">
        <w:rPr>
          <w:rFonts w:cstheme="minorHAnsi"/>
        </w:rPr>
        <w:t>b. dificuldade em obter cotações do mercado devido ao fechamento provisório de empresas, variações cambiais muito significativas e problemas logísticos.</w:t>
      </w:r>
    </w:p>
    <w:p w:rsidR="002C1DEA" w:rsidRPr="00215E45" w:rsidRDefault="00E760D3" w:rsidP="002C1DEA">
      <w:pPr>
        <w:jc w:val="both"/>
        <w:rPr>
          <w:rFonts w:cstheme="minorHAnsi"/>
        </w:rPr>
      </w:pPr>
      <w:r w:rsidRPr="00E760D3">
        <w:rPr>
          <w:rFonts w:cstheme="minorHAnsi"/>
          <w:b/>
        </w:rPr>
        <w:t>RESPOSTAS:</w:t>
      </w:r>
      <w:r>
        <w:rPr>
          <w:rFonts w:cstheme="minorHAnsi"/>
          <w:b/>
        </w:rPr>
        <w:t xml:space="preserve"> </w:t>
      </w:r>
      <w:r w:rsidR="002C1DEA" w:rsidRPr="00215E45">
        <w:rPr>
          <w:rFonts w:cstheme="minorHAnsi"/>
        </w:rPr>
        <w:t xml:space="preserve">Respondendo ao questionado, conforme item 10.03 da minuta contratual: “10.03 As penalidades de multa decorrentes de fatos diversos serão consideradas independentes entre </w:t>
      </w:r>
      <w:proofErr w:type="gramStart"/>
      <w:r w:rsidR="002C1DEA" w:rsidRPr="00215E45">
        <w:rPr>
          <w:rFonts w:cstheme="minorHAnsi"/>
        </w:rPr>
        <w:t>si.”</w:t>
      </w:r>
      <w:proofErr w:type="gramEnd"/>
    </w:p>
    <w:p w:rsidR="002C1DEA" w:rsidRPr="00215E45" w:rsidRDefault="002C1DEA" w:rsidP="00610FF7">
      <w:pPr>
        <w:ind w:firstLine="1701"/>
        <w:jc w:val="both"/>
        <w:rPr>
          <w:rFonts w:cstheme="minorHAnsi"/>
        </w:rPr>
      </w:pPr>
      <w:r w:rsidRPr="00215E45">
        <w:rPr>
          <w:rFonts w:cstheme="minorHAnsi"/>
        </w:rPr>
        <w:t>Portanto, em virtude de previsão constante do edital (19.03) e da minuta contratual serão aplicadas cumulativamente, caso seja observada mais de uma infração, eis que consideradas independentes entre si e por item em atraso, tendo como base de cálculo o valor atualizado do contrato, conforme expresso no item 10.02, tabela 1.</w:t>
      </w:r>
    </w:p>
    <w:p w:rsidR="002C1DEA" w:rsidRPr="00215E45" w:rsidRDefault="002C1DEA" w:rsidP="002C1DEA">
      <w:pPr>
        <w:jc w:val="both"/>
        <w:rPr>
          <w:rFonts w:cstheme="minorHAnsi"/>
        </w:rPr>
      </w:pPr>
      <w:r w:rsidRPr="00215E45">
        <w:rPr>
          <w:rFonts w:cstheme="minorHAnsi"/>
        </w:rPr>
        <w:t>Também é importante ressaltar que conforme item 10.06 da minuta contratual, que:</w:t>
      </w:r>
    </w:p>
    <w:p w:rsidR="002C1DEA" w:rsidRPr="00215E45" w:rsidRDefault="002C1DEA" w:rsidP="002C1DEA">
      <w:pPr>
        <w:ind w:left="2835"/>
        <w:jc w:val="both"/>
        <w:rPr>
          <w:rFonts w:cstheme="minorHAnsi"/>
        </w:rPr>
      </w:pPr>
      <w:r w:rsidRPr="00215E45">
        <w:rPr>
          <w:rFonts w:cstheme="minorHAnsi"/>
        </w:rPr>
        <w:t xml:space="preserve">10.06 A aplicação de qualquer das penalidades previstas no edital e no contrato realizar-se-á em processo administrativo, assegurado o contraditório e a ampla defesa à CONTRATADA, cujo procedimento observará o previsto na Lei Federal nº 8.666/1993. </w:t>
      </w:r>
    </w:p>
    <w:p w:rsidR="002C1DEA" w:rsidRPr="00215E45" w:rsidRDefault="002C1DEA" w:rsidP="00610FF7">
      <w:pPr>
        <w:ind w:firstLine="1701"/>
        <w:jc w:val="both"/>
        <w:rPr>
          <w:rFonts w:cstheme="minorHAnsi"/>
        </w:rPr>
      </w:pPr>
      <w:r w:rsidRPr="00215E45">
        <w:rPr>
          <w:rFonts w:cstheme="minorHAnsi"/>
        </w:rPr>
        <w:t>Portanto, nenhuma penalidade será aplicada sem a observância da ampla defesa por parte da contratada.</w:t>
      </w:r>
    </w:p>
    <w:p w:rsidR="002C1DEA" w:rsidRPr="00215E45" w:rsidRDefault="002C1DEA" w:rsidP="00610FF7">
      <w:pPr>
        <w:ind w:firstLine="1701"/>
        <w:jc w:val="both"/>
        <w:rPr>
          <w:rFonts w:cstheme="minorHAnsi"/>
        </w:rPr>
      </w:pPr>
      <w:r w:rsidRPr="00215E45">
        <w:rPr>
          <w:rFonts w:cstheme="minorHAnsi"/>
        </w:rPr>
        <w:t>Em acréscimo, verifica-se que o item 10.07 é expresso ao informar que a Administração observará o princípio da proporcionalidade na aplicação das penalidades, o que se pede vênia para reproduzir:</w:t>
      </w:r>
    </w:p>
    <w:p w:rsidR="002C1DEA" w:rsidRDefault="002C1DEA" w:rsidP="002C1DEA">
      <w:pPr>
        <w:ind w:left="2835"/>
        <w:jc w:val="both"/>
        <w:rPr>
          <w:rFonts w:cstheme="minorHAnsi"/>
        </w:rPr>
      </w:pPr>
      <w:r w:rsidRPr="00215E45">
        <w:rPr>
          <w:rFonts w:cstheme="minorHAnsi"/>
        </w:rPr>
        <w:t>10.07 A autoridade competente, na aplicação das sanções, levará em consideração a gravidade da conduta do infrator, o caráter educativo da pena, bem como o dano causado à Administração Pública, observado o princípio da proporcionalidade, podendo relevá-las em caso de ato, omissão ou culpa exclusiva do PODER PÚBLICO.</w:t>
      </w:r>
    </w:p>
    <w:p w:rsidR="004555DD" w:rsidRDefault="004555DD" w:rsidP="002C1DEA">
      <w:pPr>
        <w:ind w:left="2835"/>
        <w:jc w:val="both"/>
        <w:rPr>
          <w:rFonts w:cstheme="minorHAnsi"/>
        </w:rPr>
      </w:pPr>
    </w:p>
    <w:p w:rsidR="004555DD" w:rsidRPr="00215E45" w:rsidRDefault="004555DD" w:rsidP="002C1DEA">
      <w:pPr>
        <w:ind w:left="2835"/>
        <w:jc w:val="both"/>
        <w:rPr>
          <w:rFonts w:cstheme="minorHAnsi"/>
        </w:rPr>
      </w:pPr>
    </w:p>
    <w:p w:rsidR="002C1DEA" w:rsidRPr="00215E45" w:rsidRDefault="002C1DEA" w:rsidP="00610FF7">
      <w:pPr>
        <w:ind w:firstLine="1701"/>
        <w:jc w:val="both"/>
        <w:rPr>
          <w:rFonts w:cstheme="minorHAnsi"/>
        </w:rPr>
      </w:pPr>
      <w:r w:rsidRPr="00215E45">
        <w:rPr>
          <w:rFonts w:cstheme="minorHAnsi"/>
        </w:rPr>
        <w:t xml:space="preserve">Por fim, ressalta o Município que a proporcionalidade e razoabilidade estão sendo respeitadas, conforme jurisprudência do E. Tribunal de Contas do Estado de São Paulo, eis que este respeitável órgão determina a correção quando não há gradação das </w:t>
      </w:r>
      <w:r w:rsidR="00095F91" w:rsidRPr="00215E45">
        <w:rPr>
          <w:rFonts w:cstheme="minorHAnsi"/>
        </w:rPr>
        <w:t>multas e</w:t>
      </w:r>
      <w:r w:rsidRPr="00215E45">
        <w:rPr>
          <w:rFonts w:cstheme="minorHAnsi"/>
        </w:rPr>
        <w:t xml:space="preserve"> descrição objetiva destas, o que no presente caso foi observado, senão vejamos:</w:t>
      </w:r>
    </w:p>
    <w:p w:rsidR="002C1DEA" w:rsidRPr="00215E45" w:rsidRDefault="002C1DEA" w:rsidP="002C1DEA">
      <w:pPr>
        <w:ind w:left="2835"/>
        <w:jc w:val="both"/>
        <w:rPr>
          <w:rFonts w:cstheme="minorHAnsi"/>
          <w:b/>
        </w:rPr>
      </w:pPr>
      <w:r w:rsidRPr="00215E45">
        <w:rPr>
          <w:rFonts w:cstheme="minorHAnsi"/>
        </w:rPr>
        <w:t xml:space="preserve">E quanto às penalidades previstas pelo item 15 do edital, especificamente nos seus subitens 15.2 a 15.5, </w:t>
      </w:r>
      <w:r w:rsidRPr="00215E45">
        <w:rPr>
          <w:rFonts w:cstheme="minorHAnsi"/>
          <w:b/>
        </w:rPr>
        <w:t>lá já estão prévia e exaustivamente descritas hipóteses objetivas de incidência das penalidades com gradação da multa a depender da categoria das infrações, classificadas em infrações leves, médias, graves e gravíssimas.</w:t>
      </w:r>
    </w:p>
    <w:p w:rsidR="002C1DEA" w:rsidRPr="00215E45" w:rsidRDefault="002C1DEA" w:rsidP="002C1DEA">
      <w:pPr>
        <w:ind w:left="2835"/>
        <w:jc w:val="both"/>
        <w:rPr>
          <w:rFonts w:cstheme="minorHAnsi"/>
        </w:rPr>
      </w:pPr>
      <w:r w:rsidRPr="00215E45">
        <w:rPr>
          <w:rFonts w:cstheme="minorHAnsi"/>
        </w:rPr>
        <w:t>Especificamente quanto a tais penalidades desses subitens 15.2 a 15.5 do edital, não há qualquer retificação a ser determinada na medida em que a impugnação foi genérica e não logrou revelar sinais de alguma ilegalidade clara.</w:t>
      </w:r>
    </w:p>
    <w:p w:rsidR="002C1DEA" w:rsidRPr="00215E45" w:rsidRDefault="002C1DEA" w:rsidP="002C1DEA">
      <w:pPr>
        <w:ind w:left="2835"/>
        <w:jc w:val="both"/>
        <w:rPr>
          <w:rFonts w:cstheme="minorHAnsi"/>
        </w:rPr>
      </w:pPr>
      <w:r w:rsidRPr="00215E45">
        <w:rPr>
          <w:rFonts w:cstheme="minorHAnsi"/>
        </w:rPr>
        <w:t xml:space="preserve"> (TCE/SP, Processo n. 00014005.989.18-1, Relator: Conselheiro Substituto </w:t>
      </w:r>
      <w:proofErr w:type="spellStart"/>
      <w:r w:rsidRPr="00215E45">
        <w:rPr>
          <w:rFonts w:cstheme="minorHAnsi"/>
        </w:rPr>
        <w:t>Samy</w:t>
      </w:r>
      <w:proofErr w:type="spellEnd"/>
      <w:r w:rsidRPr="00215E45">
        <w:rPr>
          <w:rFonts w:cstheme="minorHAnsi"/>
        </w:rPr>
        <w:t xml:space="preserve"> </w:t>
      </w:r>
      <w:proofErr w:type="spellStart"/>
      <w:r w:rsidRPr="00215E45">
        <w:rPr>
          <w:rFonts w:cstheme="minorHAnsi"/>
        </w:rPr>
        <w:t>Wurman</w:t>
      </w:r>
      <w:proofErr w:type="spellEnd"/>
      <w:r w:rsidRPr="00215E45">
        <w:rPr>
          <w:rFonts w:cstheme="minorHAnsi"/>
        </w:rPr>
        <w:t>, data do julgamento: 01/08/2018) (grifo meu).</w:t>
      </w:r>
    </w:p>
    <w:p w:rsidR="002C1DEA" w:rsidRPr="00215E45" w:rsidRDefault="002C1DEA" w:rsidP="002C1DEA">
      <w:pPr>
        <w:ind w:left="2835"/>
        <w:jc w:val="both"/>
        <w:rPr>
          <w:rFonts w:cstheme="minorHAnsi"/>
        </w:rPr>
      </w:pPr>
      <w:r w:rsidRPr="00215E45">
        <w:rPr>
          <w:rFonts w:cstheme="minorHAnsi"/>
        </w:rPr>
        <w:t>[...]</w:t>
      </w:r>
    </w:p>
    <w:p w:rsidR="002C1DEA" w:rsidRPr="00215E45" w:rsidRDefault="002C1DEA" w:rsidP="002C1DEA">
      <w:pPr>
        <w:ind w:left="2835"/>
        <w:jc w:val="both"/>
        <w:rPr>
          <w:rFonts w:cstheme="minorHAnsi"/>
        </w:rPr>
      </w:pPr>
      <w:r w:rsidRPr="00215E45">
        <w:rPr>
          <w:rFonts w:cstheme="minorHAnsi"/>
        </w:rPr>
        <w:t xml:space="preserve">No que tange às penalidades contratuais, explicou que “a possibilidade de rescisão aleatória do contrato (por violações a quaisquer das cláusulas contratuais, das mais relevantes às mais inexpressivas) </w:t>
      </w:r>
      <w:r w:rsidRPr="00215E45">
        <w:rPr>
          <w:rFonts w:cstheme="minorHAnsi"/>
          <w:b/>
        </w:rPr>
        <w:t>e a previsão de genérica incidência de multa de 20% sobre o valor integral da avença, soam desarrazoadas e imprecisas,</w:t>
      </w:r>
      <w:r w:rsidRPr="00215E45">
        <w:rPr>
          <w:rFonts w:cstheme="minorHAnsi"/>
        </w:rPr>
        <w:t xml:space="preserve"> (...)</w:t>
      </w:r>
      <w:r w:rsidRPr="00215E45">
        <w:rPr>
          <w:rFonts w:cstheme="minorHAnsi"/>
          <w:b/>
        </w:rPr>
        <w:t>conferindo insegurança jurídica ao ajuste, por não indicarem, de modo objetivo, em quais situações seriam levadas a efeito.</w:t>
      </w:r>
      <w:r w:rsidRPr="00215E45">
        <w:rPr>
          <w:rFonts w:cstheme="minorHAnsi"/>
        </w:rPr>
        <w:t xml:space="preserve"> E, ademais, revelam incongruência com o próprio edital, mais especificamente com o subitem 16.3, de redação apurada e que</w:t>
      </w:r>
      <w:r w:rsidRPr="00215E45">
        <w:rPr>
          <w:rFonts w:cstheme="minorHAnsi"/>
          <w:b/>
        </w:rPr>
        <w:t>(...)deveria ser reproduzido na minuta do edital, por prestigiar os princípios da proporcionalidade, razoabilidade e motivação</w:t>
      </w:r>
      <w:r w:rsidRPr="00215E45">
        <w:rPr>
          <w:rFonts w:cstheme="minorHAnsi"/>
        </w:rPr>
        <w:t xml:space="preserve">” (TCE/SP, TC n. TC-020273.989.20-2, Relator: Conselheiro Sidney </w:t>
      </w:r>
      <w:proofErr w:type="spellStart"/>
      <w:r w:rsidRPr="00215E45">
        <w:rPr>
          <w:rFonts w:cstheme="minorHAnsi"/>
        </w:rPr>
        <w:t>Estanislau</w:t>
      </w:r>
      <w:proofErr w:type="spellEnd"/>
      <w:r w:rsidRPr="00215E45">
        <w:rPr>
          <w:rFonts w:cstheme="minorHAnsi"/>
        </w:rPr>
        <w:t xml:space="preserve"> Beraldo, data do julgamento: 04/11/2020) (grifo meu).</w:t>
      </w:r>
    </w:p>
    <w:p w:rsidR="002C1DEA" w:rsidRDefault="002C1DEA" w:rsidP="002C1DEA">
      <w:pPr>
        <w:ind w:left="2835"/>
        <w:jc w:val="both"/>
        <w:rPr>
          <w:rFonts w:cstheme="minorHAnsi"/>
        </w:rPr>
      </w:pPr>
    </w:p>
    <w:p w:rsidR="00E760D3" w:rsidRDefault="00E760D3" w:rsidP="002C1DEA">
      <w:pPr>
        <w:ind w:left="2835"/>
        <w:jc w:val="both"/>
        <w:rPr>
          <w:rFonts w:cstheme="minorHAnsi"/>
        </w:rPr>
      </w:pPr>
    </w:p>
    <w:p w:rsidR="00E760D3" w:rsidRDefault="00E760D3" w:rsidP="002C1DEA">
      <w:pPr>
        <w:ind w:left="2835"/>
        <w:jc w:val="both"/>
        <w:rPr>
          <w:rFonts w:cstheme="minorHAnsi"/>
        </w:rPr>
      </w:pPr>
    </w:p>
    <w:p w:rsidR="00E760D3" w:rsidRPr="00215E45" w:rsidRDefault="00E760D3" w:rsidP="002C1DEA">
      <w:pPr>
        <w:ind w:left="2835"/>
        <w:jc w:val="both"/>
        <w:rPr>
          <w:rFonts w:cstheme="minorHAnsi"/>
        </w:rPr>
      </w:pPr>
    </w:p>
    <w:p w:rsidR="002C1DEA" w:rsidRDefault="002C1DEA" w:rsidP="00610FF7">
      <w:pPr>
        <w:ind w:firstLine="1701"/>
        <w:jc w:val="both"/>
        <w:rPr>
          <w:rFonts w:cstheme="minorHAnsi"/>
        </w:rPr>
      </w:pPr>
      <w:r w:rsidRPr="00215E45">
        <w:rPr>
          <w:rFonts w:cstheme="minorHAnsi"/>
        </w:rPr>
        <w:t>O Colendo Tribunal de Contas da União expressa o mesmo entendimento:</w:t>
      </w:r>
    </w:p>
    <w:p w:rsidR="00E760D3" w:rsidRPr="00215E45" w:rsidRDefault="00E760D3" w:rsidP="002C1DEA">
      <w:pPr>
        <w:jc w:val="both"/>
        <w:rPr>
          <w:rFonts w:cstheme="minorHAnsi"/>
        </w:rPr>
      </w:pPr>
    </w:p>
    <w:p w:rsidR="002C1DEA" w:rsidRPr="00215E45" w:rsidRDefault="002C1DEA" w:rsidP="002C1DEA">
      <w:pPr>
        <w:ind w:left="2835"/>
        <w:jc w:val="both"/>
        <w:rPr>
          <w:rFonts w:cstheme="minorHAnsi"/>
        </w:rPr>
      </w:pPr>
      <w:r w:rsidRPr="00215E45">
        <w:rPr>
          <w:rFonts w:cstheme="minorHAnsi"/>
        </w:rPr>
        <w:t xml:space="preserve">ACÓRDÃO]9.2. </w:t>
      </w:r>
      <w:proofErr w:type="gramStart"/>
      <w:r w:rsidRPr="00215E45">
        <w:rPr>
          <w:rFonts w:cstheme="minorHAnsi"/>
        </w:rPr>
        <w:t>determinar</w:t>
      </w:r>
      <w:proofErr w:type="gramEnd"/>
      <w:r w:rsidRPr="00215E45">
        <w:rPr>
          <w:rFonts w:cstheme="minorHAnsi"/>
        </w:rPr>
        <w:t xml:space="preserve"> ao Ministério do Esporte [...] que, nas futuras contratações de serviços de tecnologia da informação:</w:t>
      </w:r>
    </w:p>
    <w:p w:rsidR="002C1DEA" w:rsidRPr="00215E45" w:rsidRDefault="002C1DEA" w:rsidP="002C1DEA">
      <w:pPr>
        <w:ind w:left="2835"/>
        <w:jc w:val="both"/>
        <w:rPr>
          <w:rFonts w:cstheme="minorHAnsi"/>
        </w:rPr>
      </w:pPr>
      <w:r w:rsidRPr="00215E45">
        <w:rPr>
          <w:rFonts w:cstheme="minorHAnsi"/>
        </w:rPr>
        <w:t>(...)</w:t>
      </w:r>
    </w:p>
    <w:p w:rsidR="002C1DEA" w:rsidRPr="00215E45" w:rsidRDefault="002C1DEA" w:rsidP="002C1DEA">
      <w:pPr>
        <w:ind w:left="2835"/>
        <w:jc w:val="both"/>
        <w:rPr>
          <w:rFonts w:cstheme="minorHAnsi"/>
        </w:rPr>
      </w:pPr>
      <w:r w:rsidRPr="00215E45">
        <w:rPr>
          <w:rFonts w:cstheme="minorHAnsi"/>
        </w:rPr>
        <w:t xml:space="preserve">9.2.9. em atenção ao art. 55, incisos VII, VIII e IX, da Lei 8.666/1993, preveja, tanto no edital quanto no respectivo contrato, </w:t>
      </w:r>
      <w:r w:rsidRPr="00215E45">
        <w:rPr>
          <w:rFonts w:cstheme="minorHAnsi"/>
          <w:b/>
        </w:rPr>
        <w:t>situações claras de aplicação das penalidades, estabelecendo gradações entre as sanções de acordo com o potencial de lesão que poderá advir de cada conduta a ser penalizada, observando o disposto no item 9.1.5 do Acórdão 2.471/2008-TCU</w:t>
      </w:r>
      <w:r w:rsidRPr="00215E45">
        <w:rPr>
          <w:rFonts w:cstheme="minorHAnsi"/>
        </w:rPr>
        <w:t xml:space="preserve"> - Plenário (achado II.7); (TCU, AC-1597-24/10-P    Sessão: 07/07/10    Grupo: II    Classe: VII    Relator: Ministro AUGUSTO SHERMAN CAVALCANTI – Fiscalização)</w:t>
      </w:r>
    </w:p>
    <w:p w:rsidR="002C1DEA" w:rsidRPr="00215E45" w:rsidRDefault="002C1DEA" w:rsidP="002C1DEA">
      <w:pPr>
        <w:ind w:left="2835"/>
        <w:jc w:val="both"/>
        <w:rPr>
          <w:rFonts w:cstheme="minorHAnsi"/>
        </w:rPr>
      </w:pPr>
      <w:r w:rsidRPr="00215E45">
        <w:rPr>
          <w:rFonts w:cstheme="minorHAnsi"/>
        </w:rPr>
        <w:t>[ACÓRDÃO]1.6. Determinar à Subsecretaria de Planejamento, Orçamento e Administração do Ministério do Desenvolvimento Social -MDS, que nos futuros processos licitatórios para contratação de serviços de tecnologia da informação:</w:t>
      </w:r>
    </w:p>
    <w:p w:rsidR="002C1DEA" w:rsidRPr="00215E45" w:rsidRDefault="002C1DEA" w:rsidP="002C1DEA">
      <w:pPr>
        <w:ind w:left="2835"/>
        <w:jc w:val="both"/>
        <w:rPr>
          <w:rFonts w:cstheme="minorHAnsi"/>
        </w:rPr>
      </w:pPr>
      <w:r w:rsidRPr="00215E45">
        <w:rPr>
          <w:rFonts w:cstheme="minorHAnsi"/>
        </w:rPr>
        <w:t>(...)</w:t>
      </w:r>
    </w:p>
    <w:p w:rsidR="002C1DEA" w:rsidRPr="00215E45" w:rsidRDefault="002C1DEA" w:rsidP="002C1DEA">
      <w:pPr>
        <w:ind w:left="2835"/>
        <w:jc w:val="both"/>
        <w:rPr>
          <w:rFonts w:cstheme="minorHAnsi"/>
        </w:rPr>
      </w:pPr>
      <w:r w:rsidRPr="00215E45">
        <w:rPr>
          <w:rFonts w:cstheme="minorHAnsi"/>
        </w:rPr>
        <w:t xml:space="preserve">1.6.10. </w:t>
      </w:r>
      <w:proofErr w:type="gramStart"/>
      <w:r w:rsidRPr="00215E45">
        <w:rPr>
          <w:rFonts w:cstheme="minorHAnsi"/>
        </w:rPr>
        <w:t>em</w:t>
      </w:r>
      <w:proofErr w:type="gramEnd"/>
      <w:r w:rsidRPr="00215E45">
        <w:rPr>
          <w:rFonts w:cstheme="minorHAnsi"/>
        </w:rPr>
        <w:t xml:space="preserve"> atenção ao disposto no art. 55, incisos VII, VIII e IX, da Lei nº 8.666/1993, </w:t>
      </w:r>
      <w:r w:rsidRPr="00215E45">
        <w:rPr>
          <w:rFonts w:cstheme="minorHAnsi"/>
          <w:b/>
        </w:rPr>
        <w:t>preveja, tanto no edital quanto no respectivo contrato, situações claras para aplicação das penalidades, estabelecendo gradações entre as sanções de acordo com o potencial de lesão que poderá advir de cada conduta a ser penalizada;</w:t>
      </w:r>
      <w:r w:rsidRPr="00215E45">
        <w:rPr>
          <w:rFonts w:cstheme="minorHAnsi"/>
        </w:rPr>
        <w:t xml:space="preserve"> (TCU, AC-0137-01/10-1 Sessão: 26/01/10  Grupo: 0    Classe: 0    Relator: Ministro AUGUSTO NARDES – Fiscalização)</w:t>
      </w:r>
    </w:p>
    <w:p w:rsidR="002C1DEA" w:rsidRDefault="002C1DEA" w:rsidP="002C1DEA">
      <w:pPr>
        <w:ind w:left="2835"/>
        <w:jc w:val="both"/>
        <w:rPr>
          <w:rFonts w:cstheme="minorHAnsi"/>
        </w:rPr>
      </w:pPr>
      <w:r w:rsidRPr="00215E45">
        <w:rPr>
          <w:rFonts w:cstheme="minorHAnsi"/>
        </w:rPr>
        <w:t>[...]</w:t>
      </w:r>
    </w:p>
    <w:p w:rsidR="00E760D3" w:rsidRDefault="00E760D3" w:rsidP="002C1DEA">
      <w:pPr>
        <w:ind w:left="2835"/>
        <w:jc w:val="both"/>
        <w:rPr>
          <w:rFonts w:cstheme="minorHAnsi"/>
        </w:rPr>
      </w:pPr>
    </w:p>
    <w:p w:rsidR="00E760D3" w:rsidRDefault="00E760D3" w:rsidP="002C1DEA">
      <w:pPr>
        <w:ind w:left="2835"/>
        <w:jc w:val="both"/>
        <w:rPr>
          <w:rFonts w:cstheme="minorHAnsi"/>
        </w:rPr>
      </w:pPr>
    </w:p>
    <w:p w:rsidR="00E760D3" w:rsidRDefault="00E760D3" w:rsidP="002C1DEA">
      <w:pPr>
        <w:ind w:left="2835"/>
        <w:jc w:val="both"/>
        <w:rPr>
          <w:rFonts w:cstheme="minorHAnsi"/>
        </w:rPr>
      </w:pPr>
    </w:p>
    <w:p w:rsidR="00E760D3" w:rsidRPr="00215E45" w:rsidRDefault="00E760D3" w:rsidP="002C1DEA">
      <w:pPr>
        <w:ind w:left="2835"/>
        <w:jc w:val="both"/>
        <w:rPr>
          <w:rFonts w:cstheme="minorHAnsi"/>
        </w:rPr>
      </w:pPr>
    </w:p>
    <w:p w:rsidR="002C1DEA" w:rsidRPr="00215E45" w:rsidRDefault="002C1DEA" w:rsidP="002C1DEA">
      <w:pPr>
        <w:ind w:left="2835"/>
        <w:jc w:val="both"/>
        <w:rPr>
          <w:rFonts w:cstheme="minorHAnsi"/>
        </w:rPr>
      </w:pPr>
      <w:r w:rsidRPr="00215E45">
        <w:rPr>
          <w:rFonts w:cstheme="minorHAnsi"/>
        </w:rPr>
        <w:t xml:space="preserve">d) cabe determinar ao MEC que, em atenção aos princípios da proporcionalidade e da prudência, inclua, nos contratos relativos à prestação de serviços de tecnologia da informação, celebrados por esse Ministério, </w:t>
      </w:r>
      <w:r w:rsidRPr="00215E45">
        <w:rPr>
          <w:rFonts w:cstheme="minorHAnsi"/>
          <w:b/>
        </w:rPr>
        <w:t>cláusulas prevendo penalidades específicas para possíveis falhas cometidas na execução dos serviços contratados. Devem ser estabelecidas punições proporcionais aos descumprimentos verificados;</w:t>
      </w:r>
      <w:r w:rsidRPr="00215E45">
        <w:rPr>
          <w:rFonts w:cstheme="minorHAnsi"/>
        </w:rPr>
        <w:t xml:space="preserve"> (Acórdão 669/2008 TCU – Plenário)</w:t>
      </w:r>
    </w:p>
    <w:p w:rsidR="004555DD" w:rsidRDefault="004555DD" w:rsidP="00610FF7">
      <w:pPr>
        <w:ind w:firstLine="1701"/>
        <w:jc w:val="both"/>
        <w:rPr>
          <w:rFonts w:cstheme="minorHAnsi"/>
        </w:rPr>
      </w:pPr>
    </w:p>
    <w:p w:rsidR="002C1DEA" w:rsidRPr="00215E45" w:rsidRDefault="002C1DEA" w:rsidP="00610FF7">
      <w:pPr>
        <w:ind w:firstLine="1701"/>
        <w:jc w:val="both"/>
        <w:rPr>
          <w:rFonts w:cstheme="minorHAnsi"/>
        </w:rPr>
      </w:pPr>
      <w:r w:rsidRPr="00215E45">
        <w:rPr>
          <w:rFonts w:cstheme="minorHAnsi"/>
        </w:rPr>
        <w:t>Portanto, resta esclarecido o questionado, explicitando que as multas são independentes, sendo aplicadas por item, sobre o valor atualizado do contrato, com a observância dos princípios da proporcionalidade e razoabilidade, com gradação das penalidades e respeito à ampla defesa.</w:t>
      </w:r>
    </w:p>
    <w:p w:rsidR="00DB1AFC" w:rsidRPr="00DB1AFC" w:rsidRDefault="00DB1AFC" w:rsidP="00DB1AFC">
      <w:pPr>
        <w:spacing w:after="200" w:line="276" w:lineRule="auto"/>
        <w:ind w:firstLine="1560"/>
        <w:jc w:val="both"/>
      </w:pPr>
      <w:r w:rsidRPr="00DB1AFC">
        <w:t xml:space="preserve">A afirmação que o aterramento é imprescindível para o funcionamento de luminárias LED é da empresa </w:t>
      </w:r>
      <w:proofErr w:type="spellStart"/>
      <w:r w:rsidRPr="00DB1AFC">
        <w:t>OEngenharia</w:t>
      </w:r>
      <w:proofErr w:type="spellEnd"/>
      <w:r w:rsidRPr="00DB1AFC">
        <w:t>, não sendo esta sustentada ou referenciada.</w:t>
      </w:r>
    </w:p>
    <w:p w:rsidR="00DB1AFC" w:rsidRDefault="00DB1AFC" w:rsidP="00DB1AFC">
      <w:pPr>
        <w:pStyle w:val="PargrafodaLista"/>
        <w:ind w:left="0" w:firstLine="1560"/>
        <w:jc w:val="both"/>
      </w:pPr>
      <w:r w:rsidRPr="00DB1AFC">
        <w:t>Existem em nossa cidade diversos processos licitatórios encerrados e em execução, onde as empresas apresentam soluções como por exemplo o DPS entre fases, e o fabricante assume a garantia mesmo sem a ligação do condutor terra, um desses processos está na fase final de execução, que contempla a instalação de 3333 luminárias na região central, outro deles contempla aproximadamente 36 mil luminárias, este inclusive passou por fina analise do TCE-SP, com esse mesmo item presente, e não foi nos apontado para retira-lo.</w:t>
      </w:r>
    </w:p>
    <w:p w:rsidR="00DB1AFC" w:rsidRPr="00DB1AFC" w:rsidRDefault="00DB1AFC" w:rsidP="00DB1AFC">
      <w:pPr>
        <w:pStyle w:val="PargrafodaLista"/>
        <w:ind w:left="0" w:firstLine="1560"/>
        <w:jc w:val="both"/>
      </w:pPr>
    </w:p>
    <w:p w:rsidR="00DB1AFC" w:rsidRPr="00DB1AFC" w:rsidRDefault="00DB1AFC" w:rsidP="00DB1AFC">
      <w:pPr>
        <w:pStyle w:val="PargrafodaLista"/>
        <w:ind w:left="0" w:firstLine="1560"/>
        <w:jc w:val="both"/>
      </w:pPr>
      <w:r w:rsidRPr="00DB1AFC">
        <w:t xml:space="preserve">Enfatizo ainda que este não é um edital para instalação de novos pontos de LED, e sim para manutenção, ocorrendo que os </w:t>
      </w:r>
      <w:proofErr w:type="spellStart"/>
      <w:r w:rsidRPr="00DB1AFC">
        <w:t>LEDs</w:t>
      </w:r>
      <w:proofErr w:type="spellEnd"/>
      <w:r w:rsidRPr="00DB1AFC">
        <w:t xml:space="preserve"> presente nesta planilha apenas substituirão outros, quebrados, que sofreram vandalismo ou foram danificados por quedas de arvores ou acidentes de carro, onde já existia uma luminária LED funcionando na mesma situação sem o condutor terra.</w:t>
      </w:r>
    </w:p>
    <w:p w:rsidR="00DB1AFC" w:rsidRDefault="00DB1AFC" w:rsidP="00DB1AFC">
      <w:pPr>
        <w:pStyle w:val="PargrafodaLista"/>
        <w:ind w:left="1134" w:firstLine="1560"/>
        <w:jc w:val="both"/>
        <w:rPr>
          <w:sz w:val="24"/>
          <w:szCs w:val="24"/>
        </w:rPr>
      </w:pPr>
    </w:p>
    <w:p w:rsidR="00DB1AFC" w:rsidRDefault="00DB1AFC" w:rsidP="00DB1AFC">
      <w:pPr>
        <w:pStyle w:val="PargrafodaLista"/>
        <w:ind w:left="0" w:firstLine="1560"/>
        <w:jc w:val="both"/>
      </w:pPr>
      <w:r w:rsidRPr="00DB1AFC">
        <w:t>Visto que existem vários fabricantes que sustentam a garantia nessa condição, e que não podemos contrariar a norma da CPFL, que é proprietária do poste e fornecedora de energia elétrica, e nem instalar um sistema de aterramento em um LED danificado por outro motivo, não atendemos o solicitado.</w:t>
      </w:r>
    </w:p>
    <w:p w:rsidR="00DB1AFC" w:rsidRPr="00DB1AFC" w:rsidRDefault="00DB1AFC" w:rsidP="00DB1AFC">
      <w:pPr>
        <w:pStyle w:val="PargrafodaLista"/>
        <w:ind w:left="0" w:firstLine="1560"/>
        <w:jc w:val="both"/>
      </w:pPr>
    </w:p>
    <w:p w:rsidR="00DB1AFC" w:rsidRPr="00DB1AFC" w:rsidRDefault="00DB1AFC" w:rsidP="00DB1AFC">
      <w:pPr>
        <w:pStyle w:val="PargrafodaLista"/>
        <w:numPr>
          <w:ilvl w:val="0"/>
          <w:numId w:val="3"/>
        </w:numPr>
        <w:spacing w:after="200" w:line="276" w:lineRule="auto"/>
        <w:ind w:left="0" w:firstLine="992"/>
        <w:jc w:val="both"/>
      </w:pPr>
      <w:r w:rsidRPr="00DB1AFC">
        <w:t>Segue anexo planilha com as composições utilizadas.</w:t>
      </w:r>
    </w:p>
    <w:p w:rsidR="00DB1AFC" w:rsidRPr="00DB1AFC" w:rsidRDefault="00DB1AFC" w:rsidP="00DB1AFC">
      <w:pPr>
        <w:pStyle w:val="PargrafodaLista"/>
        <w:numPr>
          <w:ilvl w:val="0"/>
          <w:numId w:val="3"/>
        </w:numPr>
        <w:spacing w:after="200" w:line="276" w:lineRule="auto"/>
        <w:ind w:left="0" w:firstLine="992"/>
        <w:jc w:val="both"/>
      </w:pPr>
      <w:r w:rsidRPr="00DB1AFC">
        <w:t>Na verdade, o acórdão 2622/2013 não trata especificamente da tipologia da obra objeto desta licitação.</w:t>
      </w:r>
    </w:p>
    <w:p w:rsidR="00DB1AFC" w:rsidRDefault="00DB1AFC" w:rsidP="00DB1AFC">
      <w:pPr>
        <w:spacing w:after="200" w:line="276" w:lineRule="auto"/>
        <w:jc w:val="both"/>
        <w:rPr>
          <w:sz w:val="24"/>
          <w:szCs w:val="24"/>
        </w:rPr>
      </w:pPr>
    </w:p>
    <w:p w:rsidR="00DB1AFC" w:rsidRDefault="00DB1AFC" w:rsidP="009C73C3">
      <w:pPr>
        <w:pStyle w:val="PargrafodaLista"/>
        <w:ind w:left="0" w:firstLine="1560"/>
        <w:jc w:val="both"/>
      </w:pPr>
      <w:r w:rsidRPr="009C73C3">
        <w:t>A empresa ressalta que “o objeto licitado se enquadra na tipologia construção e manutenção de estações e redes de distribuição de energia elétrica”, fica a dúvida se a empresa realmente entendeu o objeto da licitação, que trata de MANUTENÇÃO DE ILUMINAÇÃO PÚBLICA, e não da rede elétrica que fica próxima a ela. Tecnicamente, a principal diferença é que em uma rede de distribuição elétrica, o sistema é um todo, sendo necessário a empresa percorrer longas distancias (por vezes dezenas de quilômetros) para identificar um problema, e depois de identificado, possui uma complexidade maior para ser sanado. Na iluminação pública, os serviços são pontuais, tendo uma ordem de serviço com endereço definido, e a luminária de um poste, ou evento nela ocorrido, não altera o funcionamento da luminária ao lado, sendo que o gasto indireto da empresa será muito menor, não justificando adotar um BDI de 24 a 27%, onerando o contrato de forma desnecessária.</w:t>
      </w:r>
    </w:p>
    <w:p w:rsidR="009C73C3" w:rsidRPr="009C73C3" w:rsidRDefault="009C73C3" w:rsidP="009C73C3">
      <w:pPr>
        <w:pStyle w:val="PargrafodaLista"/>
        <w:ind w:left="0" w:firstLine="1560"/>
        <w:jc w:val="both"/>
      </w:pPr>
    </w:p>
    <w:p w:rsidR="00DB1AFC" w:rsidRPr="009C73C3" w:rsidRDefault="00DB1AFC" w:rsidP="009C73C3">
      <w:pPr>
        <w:pStyle w:val="PargrafodaLista"/>
        <w:ind w:left="0" w:firstLine="1560"/>
        <w:jc w:val="both"/>
      </w:pPr>
      <w:r w:rsidRPr="009C73C3">
        <w:t xml:space="preserve">A solicitação também não deve prosperar pois a composição do BDI refere-se apenas a forma como o valor foi calculado, e nenhuma empresa será desclassificada por usar valores diferentes dos apresentados, não podendo apenas ultrapassar o valor limite dos itens da planilha orçamentaria, considerando que, observando nossos últimos processos, as licitações de iluminação pública conseguem descontos entre 20 e 50%, não é necessário onerar a planilha e empenhar o valor de 4 a 7% a mais, sendo que seria reduzido nos descontos. Qualquer iniciativa nesse sentido seria meramente </w:t>
      </w:r>
      <w:proofErr w:type="spellStart"/>
      <w:r w:rsidRPr="009C73C3">
        <w:t>postergatório</w:t>
      </w:r>
      <w:proofErr w:type="spellEnd"/>
      <w:r w:rsidRPr="009C73C3">
        <w:t xml:space="preserve"> para o processo, e causaria prejuízo desnecessário ao erário, sendo que tal aumento de preço de nada favorece a administração ou as licitantes, e que o valor de BDI atual não limita de forma alguma o universo de licitantes.</w:t>
      </w:r>
    </w:p>
    <w:p w:rsidR="00DB1AFC" w:rsidRPr="009C73C3" w:rsidRDefault="00DB1AFC" w:rsidP="009C73C3">
      <w:pPr>
        <w:spacing w:after="200" w:line="276" w:lineRule="auto"/>
        <w:ind w:firstLine="1701"/>
        <w:jc w:val="both"/>
      </w:pPr>
      <w:r w:rsidRPr="009C73C3">
        <w:t>A visita técnica é opcional, a empresa pode até tirar suas dúvidas em questionamentos via e-mail. A iluminação pública é um serviço essencial e de segurança pública, e não pode ser interrompido em função da pandemia, lembrando que não estamos tratando de uma obra nova, para iluminar um novo local, mas sim de manter em funcionamento uma iluminação já existente que garante a locomoção em segurança no período noturno a todas as pessoas</w:t>
      </w:r>
      <w:r w:rsidR="009C73C3">
        <w:t>.</w:t>
      </w:r>
    </w:p>
    <w:p w:rsidR="00EC77A2" w:rsidRDefault="00EC77A2" w:rsidP="002118E4">
      <w:pPr>
        <w:jc w:val="both"/>
        <w:rPr>
          <w:rFonts w:cstheme="minorHAnsi"/>
        </w:rPr>
      </w:pPr>
    </w:p>
    <w:p w:rsidR="00631D81" w:rsidRDefault="00631D81" w:rsidP="002118E4">
      <w:pPr>
        <w:jc w:val="both"/>
        <w:rPr>
          <w:rFonts w:cstheme="minorHAnsi"/>
        </w:rPr>
      </w:pPr>
    </w:p>
    <w:p w:rsidR="00631D81" w:rsidRPr="00506E59" w:rsidRDefault="00506E59" w:rsidP="00506E59">
      <w:pPr>
        <w:spacing w:after="0" w:line="240" w:lineRule="auto"/>
        <w:jc w:val="center"/>
        <w:rPr>
          <w:rFonts w:cstheme="minorHAnsi"/>
          <w:b/>
        </w:rPr>
      </w:pPr>
      <w:r w:rsidRPr="00506E59">
        <w:rPr>
          <w:rFonts w:cstheme="minorHAnsi"/>
          <w:b/>
        </w:rPr>
        <w:t>ARIANE SOARES DE SOUZA</w:t>
      </w:r>
    </w:p>
    <w:p w:rsidR="00506E59" w:rsidRDefault="00506E59" w:rsidP="00506E59">
      <w:pPr>
        <w:spacing w:after="0" w:line="240" w:lineRule="auto"/>
        <w:jc w:val="center"/>
        <w:rPr>
          <w:rFonts w:cstheme="minorHAnsi"/>
        </w:rPr>
      </w:pPr>
      <w:r>
        <w:rPr>
          <w:rFonts w:cstheme="minorHAnsi"/>
        </w:rPr>
        <w:t>Comissão Permanente de Licitações</w:t>
      </w:r>
    </w:p>
    <w:p w:rsidR="00506E59" w:rsidRDefault="00506E59" w:rsidP="00506E59">
      <w:pPr>
        <w:spacing w:after="0" w:line="240" w:lineRule="auto"/>
        <w:jc w:val="center"/>
        <w:rPr>
          <w:rFonts w:cstheme="minorHAnsi"/>
        </w:rPr>
      </w:pPr>
      <w:r>
        <w:rPr>
          <w:rFonts w:cstheme="minorHAnsi"/>
        </w:rPr>
        <w:t>Presidente</w:t>
      </w:r>
    </w:p>
    <w:p w:rsidR="00631D81" w:rsidRDefault="00631D81" w:rsidP="002118E4">
      <w:pPr>
        <w:jc w:val="both"/>
        <w:rPr>
          <w:rFonts w:cstheme="minorHAnsi"/>
        </w:rPr>
      </w:pPr>
    </w:p>
    <w:p w:rsidR="00631D81" w:rsidRDefault="00631D81" w:rsidP="002118E4">
      <w:pPr>
        <w:jc w:val="both"/>
        <w:rPr>
          <w:rFonts w:cstheme="minorHAnsi"/>
        </w:rPr>
      </w:pPr>
      <w:bookmarkStart w:id="0" w:name="_GoBack"/>
      <w:bookmarkEnd w:id="0"/>
    </w:p>
    <w:p w:rsidR="00631D81" w:rsidRDefault="00631D81" w:rsidP="002118E4">
      <w:pPr>
        <w:jc w:val="both"/>
        <w:rPr>
          <w:rFonts w:cstheme="minorHAnsi"/>
        </w:rPr>
      </w:pPr>
    </w:p>
    <w:p w:rsidR="00631D81" w:rsidRDefault="00631D81" w:rsidP="002118E4">
      <w:pPr>
        <w:jc w:val="both"/>
        <w:rPr>
          <w:rFonts w:cstheme="minorHAnsi"/>
        </w:rPr>
      </w:pPr>
    </w:p>
    <w:p w:rsidR="00631D81" w:rsidRDefault="00631D81" w:rsidP="002118E4">
      <w:pPr>
        <w:jc w:val="both"/>
        <w:rPr>
          <w:rFonts w:cstheme="minorHAnsi"/>
        </w:rPr>
      </w:pPr>
    </w:p>
    <w:p w:rsidR="00631D81" w:rsidRDefault="00631D81" w:rsidP="002118E4">
      <w:pPr>
        <w:jc w:val="both"/>
        <w:rPr>
          <w:rFonts w:cstheme="minorHAnsi"/>
        </w:rPr>
      </w:pPr>
    </w:p>
    <w:p w:rsidR="00631D81" w:rsidRDefault="003D6AD1" w:rsidP="002118E4">
      <w:pPr>
        <w:jc w:val="both"/>
        <w:rPr>
          <w:rFonts w:cstheme="minorHAnsi"/>
        </w:rPr>
      </w:pPr>
      <w:r w:rsidRPr="00631D81">
        <w:rPr>
          <w:rFonts w:ascii="Calibri" w:eastAsia="Times New Roman" w:hAnsi="Calibri" w:cs="Calibri"/>
          <w:noProof/>
          <w:color w:val="000000"/>
          <w:lang w:eastAsia="pt-BR"/>
        </w:rPr>
        <mc:AlternateContent>
          <mc:Choice Requires="wps">
            <w:drawing>
              <wp:anchor distT="0" distB="0" distL="114300" distR="114300" simplePos="0" relativeHeight="251657728" behindDoc="0" locked="0" layoutInCell="1" allowOverlap="1">
                <wp:simplePos x="0" y="0"/>
                <wp:positionH relativeFrom="margin">
                  <wp:posOffset>-851535</wp:posOffset>
                </wp:positionH>
                <wp:positionV relativeFrom="paragraph">
                  <wp:posOffset>2209165</wp:posOffset>
                </wp:positionV>
                <wp:extent cx="7029450" cy="1123950"/>
                <wp:effectExtent l="0" t="0" r="57150" b="57150"/>
                <wp:wrapNone/>
                <wp:docPr id="5" name="Retângulo de cantos arredondado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123950"/>
                        </a:xfrm>
                        <a:prstGeom prst="roundRect">
                          <a:avLst>
                            <a:gd name="adj" fmla="val 16667"/>
                          </a:avLst>
                        </a:prstGeom>
                        <a:solidFill>
                          <a:srgbClr val="E3E3E3"/>
                        </a:solidFill>
                        <a:ln w="9525">
                          <a:solidFill>
                            <a:srgbClr val="000000"/>
                          </a:solidFill>
                          <a:round/>
                          <a:headEnd/>
                          <a:tailEnd/>
                        </a:ln>
                        <a:effectLst>
                          <a:outerShdw dist="35921" dir="2700000" algn="ctr" rotWithShape="0">
                            <a:srgbClr val="000000"/>
                          </a:outerShdw>
                        </a:effectLst>
                      </wps:spPr>
                      <wps:txbx>
                        <w:txbxContent>
                          <w:p w:rsidR="00631D81" w:rsidRDefault="00631D81" w:rsidP="00631D81">
                            <w:pPr>
                              <w:pStyle w:val="NormalWeb"/>
                              <w:spacing w:before="0" w:beforeAutospacing="0" w:after="0" w:afterAutospacing="0" w:line="260" w:lineRule="exact"/>
                              <w:ind w:right="2310"/>
                              <w:jc w:val="center"/>
                            </w:pPr>
                            <w:r>
                              <w:rPr>
                                <w:rFonts w:ascii="Univers Cd (W1)" w:hAnsi="Univers Cd (W1)" w:cstheme="minorBidi"/>
                                <w:b/>
                                <w:bCs/>
                                <w:color w:val="000000"/>
                                <w:sz w:val="32"/>
                                <w:szCs w:val="32"/>
                              </w:rPr>
                              <w:t xml:space="preserve">Serviço: Manutenção preventiva, corretiva e </w:t>
                            </w:r>
                            <w:proofErr w:type="spellStart"/>
                            <w:r>
                              <w:rPr>
                                <w:rFonts w:ascii="Univers Cd (W1)" w:hAnsi="Univers Cd (W1)" w:cstheme="minorBidi"/>
                                <w:b/>
                                <w:bCs/>
                                <w:color w:val="000000"/>
                                <w:sz w:val="32"/>
                                <w:szCs w:val="32"/>
                              </w:rPr>
                              <w:t>eficientização</w:t>
                            </w:r>
                            <w:proofErr w:type="spellEnd"/>
                            <w:r>
                              <w:rPr>
                                <w:rFonts w:ascii="Univers Cd (W1)" w:hAnsi="Univers Cd (W1)" w:cstheme="minorBidi"/>
                                <w:b/>
                                <w:bCs/>
                                <w:color w:val="000000"/>
                                <w:sz w:val="32"/>
                                <w:szCs w:val="32"/>
                              </w:rPr>
                              <w:t xml:space="preserve"> de sistema de iluminação pública de locais públicos, logradouros, vias, praças, pontilhões, áreas de lazer, dispositivos viários e outros.</w:t>
                            </w:r>
                          </w:p>
                          <w:p w:rsidR="00631D81" w:rsidRDefault="00631D81" w:rsidP="00631D81">
                            <w:pPr>
                              <w:pStyle w:val="NormalWeb"/>
                              <w:spacing w:before="0" w:beforeAutospacing="0" w:after="0" w:afterAutospacing="0" w:line="260" w:lineRule="exact"/>
                              <w:ind w:right="1086"/>
                              <w:jc w:val="center"/>
                            </w:pPr>
                            <w:r>
                              <w:rPr>
                                <w:rFonts w:ascii="Univers Cd (W1)" w:hAnsi="Univers Cd (W1)" w:cstheme="minorBidi"/>
                                <w:b/>
                                <w:bCs/>
                                <w:color w:val="000000"/>
                                <w:sz w:val="32"/>
                                <w:szCs w:val="32"/>
                              </w:rPr>
                              <w:t xml:space="preserve">Local: </w:t>
                            </w:r>
                            <w:r>
                              <w:rPr>
                                <w:rFonts w:ascii="Univers Cd (W1)" w:hAnsi="Univers Cd (W1)" w:cstheme="minorBidi"/>
                                <w:b/>
                                <w:bCs/>
                                <w:sz w:val="28"/>
                                <w:szCs w:val="28"/>
                              </w:rPr>
                              <w:t>Praças, espaços e áreas de lazer, espaços esportivos, vias públicas, dispositivos viários, pontilhões, viadutos, ciclovias, mon</w:t>
                            </w:r>
                            <w:r w:rsidR="00CE108E">
                              <w:rPr>
                                <w:rFonts w:ascii="Univers Cd (W1)" w:hAnsi="Univers Cd (W1)" w:cstheme="minorBidi"/>
                                <w:b/>
                                <w:bCs/>
                                <w:sz w:val="28"/>
                                <w:szCs w:val="28"/>
                              </w:rPr>
                              <w:t>umentos e espaços públicos do Mu</w:t>
                            </w:r>
                            <w:r>
                              <w:rPr>
                                <w:rFonts w:ascii="Univers Cd (W1)" w:hAnsi="Univers Cd (W1)" w:cstheme="minorBidi"/>
                                <w:b/>
                                <w:bCs/>
                                <w:sz w:val="28"/>
                                <w:szCs w:val="28"/>
                              </w:rPr>
                              <w:t>nicípio de Araraquara - SP</w:t>
                            </w:r>
                            <w:r>
                              <w:rPr>
                                <w:rFonts w:ascii="Univers Cd (W1)" w:hAnsi="Univers Cd (W1)" w:cstheme="minorBidi"/>
                                <w:b/>
                                <w:bCs/>
                                <w:color w:val="000000"/>
                                <w:sz w:val="28"/>
                                <w:szCs w:val="28"/>
                              </w:rPr>
                              <w:t>.</w:t>
                            </w:r>
                          </w:p>
                          <w:p w:rsidR="00631D81" w:rsidRDefault="00631D81" w:rsidP="00631D81">
                            <w:pPr>
                              <w:pStyle w:val="NormalWeb"/>
                              <w:spacing w:before="0" w:beforeAutospacing="0" w:after="0" w:afterAutospacing="0" w:line="280" w:lineRule="exact"/>
                              <w:jc w:val="center"/>
                            </w:pPr>
                            <w:r>
                              <w:rPr>
                                <w:rFonts w:ascii="Univers Cd (W1)" w:hAnsi="Univers Cd (W1)" w:cstheme="minorBidi"/>
                                <w:b/>
                                <w:bCs/>
                                <w:color w:val="000000"/>
                                <w:sz w:val="32"/>
                                <w:szCs w:val="32"/>
                              </w:rPr>
                              <w:tab/>
                            </w:r>
                          </w:p>
                        </w:txbxContent>
                      </wps:txbx>
                      <wps:bodyPr vertOverflow="clip" wrap="square" lIns="36576" tIns="32004" rIns="36576" bIns="0" anchor="t"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5" o:spid="_x0000_s1026" style="position:absolute;left:0;text-align:left;margin-left:-67.05pt;margin-top:173.95pt;width:553.5pt;height:8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" fillcolor="#e3e3e3">
                <v:shadow on="t" color="black"/>
                <v:textbox inset="2.88pt,2.52pt,2.88pt,0">
                  <w:txbxContent>
                    <w:p w:rsidR="00631D81" w:rsidRDefault="00631D81" w:rsidP="00631D81">
                      <w:pPr>
                        <w:pStyle w:val="NormalWeb"/>
                        <w:spacing w:before="0" w:beforeAutospacing="0" w:after="0" w:afterAutospacing="0" w:line="260" w:lineRule="exact"/>
                        <w:ind w:right="2310"/>
                        <w:jc w:val="center"/>
                      </w:pPr>
                      <w:r>
                        <w:rPr>
                          <w:rFonts w:ascii="Univers Cd (W1)" w:hAnsi="Univers Cd (W1)" w:cstheme="minorBidi"/>
                          <w:b/>
                          <w:bCs/>
                          <w:color w:val="000000"/>
                          <w:sz w:val="32"/>
                          <w:szCs w:val="32"/>
                        </w:rPr>
                        <w:t xml:space="preserve">Serviço: Manutenção preventiva, corretiva e </w:t>
                      </w:r>
                      <w:proofErr w:type="spellStart"/>
                      <w:r>
                        <w:rPr>
                          <w:rFonts w:ascii="Univers Cd (W1)" w:hAnsi="Univers Cd (W1)" w:cstheme="minorBidi"/>
                          <w:b/>
                          <w:bCs/>
                          <w:color w:val="000000"/>
                          <w:sz w:val="32"/>
                          <w:szCs w:val="32"/>
                        </w:rPr>
                        <w:t>eficientização</w:t>
                      </w:r>
                      <w:proofErr w:type="spellEnd"/>
                      <w:r>
                        <w:rPr>
                          <w:rFonts w:ascii="Univers Cd (W1)" w:hAnsi="Univers Cd (W1)" w:cstheme="minorBidi"/>
                          <w:b/>
                          <w:bCs/>
                          <w:color w:val="000000"/>
                          <w:sz w:val="32"/>
                          <w:szCs w:val="32"/>
                        </w:rPr>
                        <w:t xml:space="preserve"> de sistema de iluminação pública de locais públicos, logradouros, vias, praças, pontilhões, áreas de lazer, dispositivos viários e outros.</w:t>
                      </w:r>
                    </w:p>
                    <w:p w:rsidR="00631D81" w:rsidRDefault="00631D81" w:rsidP="00631D81">
                      <w:pPr>
                        <w:pStyle w:val="NormalWeb"/>
                        <w:spacing w:before="0" w:beforeAutospacing="0" w:after="0" w:afterAutospacing="0" w:line="260" w:lineRule="exact"/>
                        <w:ind w:right="1086"/>
                        <w:jc w:val="center"/>
                      </w:pPr>
                      <w:r>
                        <w:rPr>
                          <w:rFonts w:ascii="Univers Cd (W1)" w:hAnsi="Univers Cd (W1)" w:cstheme="minorBidi"/>
                          <w:b/>
                          <w:bCs/>
                          <w:color w:val="000000"/>
                          <w:sz w:val="32"/>
                          <w:szCs w:val="32"/>
                        </w:rPr>
                        <w:t xml:space="preserve">Local: </w:t>
                      </w:r>
                      <w:r>
                        <w:rPr>
                          <w:rFonts w:ascii="Univers Cd (W1)" w:hAnsi="Univers Cd (W1)" w:cstheme="minorBidi"/>
                          <w:b/>
                          <w:bCs/>
                          <w:sz w:val="28"/>
                          <w:szCs w:val="28"/>
                        </w:rPr>
                        <w:t>Praças, espaços e áreas de lazer, espaços esportivos, vias públicas, dispositivos viários, pontilhões, viadutos, ciclovias, mon</w:t>
                      </w:r>
                      <w:r w:rsidR="00CE108E">
                        <w:rPr>
                          <w:rFonts w:ascii="Univers Cd (W1)" w:hAnsi="Univers Cd (W1)" w:cstheme="minorBidi"/>
                          <w:b/>
                          <w:bCs/>
                          <w:sz w:val="28"/>
                          <w:szCs w:val="28"/>
                        </w:rPr>
                        <w:t>umentos e espaços públicos do Mu</w:t>
                      </w:r>
                      <w:r>
                        <w:rPr>
                          <w:rFonts w:ascii="Univers Cd (W1)" w:hAnsi="Univers Cd (W1)" w:cstheme="minorBidi"/>
                          <w:b/>
                          <w:bCs/>
                          <w:sz w:val="28"/>
                          <w:szCs w:val="28"/>
                        </w:rPr>
                        <w:t>nicípio de Araraquara - SP</w:t>
                      </w:r>
                      <w:r>
                        <w:rPr>
                          <w:rFonts w:ascii="Univers Cd (W1)" w:hAnsi="Univers Cd (W1)" w:cstheme="minorBidi"/>
                          <w:b/>
                          <w:bCs/>
                          <w:color w:val="000000"/>
                          <w:sz w:val="28"/>
                          <w:szCs w:val="28"/>
                        </w:rPr>
                        <w:t>.</w:t>
                      </w:r>
                    </w:p>
                    <w:p w:rsidR="00631D81" w:rsidRDefault="00631D81" w:rsidP="00631D81">
                      <w:pPr>
                        <w:pStyle w:val="NormalWeb"/>
                        <w:spacing w:before="0" w:beforeAutospacing="0" w:after="0" w:afterAutospacing="0" w:line="280" w:lineRule="exact"/>
                        <w:jc w:val="center"/>
                      </w:pPr>
                      <w:r>
                        <w:rPr>
                          <w:rFonts w:ascii="Univers Cd (W1)" w:hAnsi="Univers Cd (W1)" w:cstheme="minorBidi"/>
                          <w:b/>
                          <w:bCs/>
                          <w:color w:val="000000"/>
                          <w:sz w:val="32"/>
                          <w:szCs w:val="32"/>
                        </w:rPr>
                        <w:tab/>
                      </w:r>
                    </w:p>
                  </w:txbxContent>
                </v:textbox>
                <w10:wrap anchorx="margin"/>
              </v:roundrect>
            </w:pict>
          </mc:Fallback>
        </mc:AlternateContent>
      </w:r>
      <w:r w:rsidRPr="00631D81">
        <w:rPr>
          <w:rFonts w:ascii="Calibri" w:eastAsia="Times New Roman" w:hAnsi="Calibri" w:cs="Calibri"/>
          <w:noProof/>
          <w:color w:val="000000"/>
          <w:lang w:eastAsia="pt-BR"/>
        </w:rPr>
        <mc:AlternateContent>
          <mc:Choice Requires="wps">
            <w:drawing>
              <wp:anchor distT="0" distB="0" distL="114300" distR="114300" simplePos="0" relativeHeight="251656704" behindDoc="0" locked="0" layoutInCell="1" allowOverlap="1">
                <wp:simplePos x="0" y="0"/>
                <wp:positionH relativeFrom="column">
                  <wp:posOffset>-832485</wp:posOffset>
                </wp:positionH>
                <wp:positionV relativeFrom="paragraph">
                  <wp:posOffset>1809115</wp:posOffset>
                </wp:positionV>
                <wp:extent cx="6972300" cy="409575"/>
                <wp:effectExtent l="0" t="0" r="57150" b="66675"/>
                <wp:wrapNone/>
                <wp:docPr id="6" name="Retângulo de cantos arredondado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09575"/>
                        </a:xfrm>
                        <a:prstGeom prst="roundRect">
                          <a:avLst>
                            <a:gd name="adj" fmla="val 16667"/>
                          </a:avLst>
                        </a:prstGeom>
                        <a:solidFill>
                          <a:sysClr val="window" lastClr="FFFFFF"/>
                        </a:solidFill>
                        <a:ln w="9525">
                          <a:solidFill>
                            <a:srgbClr val="000000"/>
                          </a:solidFill>
                          <a:round/>
                          <a:headEnd/>
                          <a:tailEnd/>
                        </a:ln>
                        <a:effectLst>
                          <a:outerShdw dist="35921" dir="2700000" algn="ctr" rotWithShape="0">
                            <a:srgbClr val="000000"/>
                          </a:outerShdw>
                        </a:effectLst>
                      </wps:spPr>
                      <wps:txbx>
                        <w:txbxContent>
                          <w:p w:rsidR="00631D81" w:rsidRDefault="00631D81" w:rsidP="00631D81">
                            <w:pPr>
                              <w:pStyle w:val="NormalWeb"/>
                              <w:spacing w:before="0" w:beforeAutospacing="0" w:after="0" w:afterAutospacing="0"/>
                              <w:ind w:right="1303"/>
                              <w:jc w:val="center"/>
                              <w:rPr>
                                <w:rFonts w:ascii="Univers Cd (W1)" w:hAnsi="Univers Cd (W1)" w:cstheme="minorBidi"/>
                                <w:b/>
                                <w:bCs/>
                                <w:color w:val="000000"/>
                                <w:sz w:val="32"/>
                                <w:szCs w:val="32"/>
                              </w:rPr>
                            </w:pPr>
                            <w:r>
                              <w:rPr>
                                <w:rFonts w:ascii="Univers Cd (W1)" w:hAnsi="Univers Cd (W1)" w:cstheme="minorBidi"/>
                                <w:b/>
                                <w:bCs/>
                                <w:color w:val="000000"/>
                                <w:sz w:val="32"/>
                                <w:szCs w:val="32"/>
                              </w:rPr>
                              <w:t>PLANILHA DE COMPOSIÇÕES</w:t>
                            </w:r>
                          </w:p>
                          <w:p w:rsidR="00631D81" w:rsidRDefault="00631D81" w:rsidP="00631D81">
                            <w:pPr>
                              <w:pStyle w:val="NormalWeb"/>
                              <w:spacing w:before="0" w:beforeAutospacing="0" w:after="0" w:afterAutospacing="0"/>
                              <w:jc w:val="center"/>
                            </w:pPr>
                          </w:p>
                        </w:txbxContent>
                      </wps:txbx>
                      <wps:bodyPr vertOverflow="clip" wrap="square" lIns="36576" tIns="32004" rIns="36576" bIns="0" anchor="t"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6" o:spid="_x0000_s1027" style="position:absolute;left:0;text-align:left;margin-left:-65.55pt;margin-top:142.45pt;width:549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" fillcolor="window">
                <v:shadow on="t" color="black"/>
                <v:textbox inset="2.88pt,2.52pt,2.88pt,0">
                  <w:txbxContent>
                    <w:p w:rsidR="00631D81" w:rsidRDefault="00631D81" w:rsidP="00631D81">
                      <w:pPr>
                        <w:pStyle w:val="NormalWeb"/>
                        <w:spacing w:before="0" w:beforeAutospacing="0" w:after="0" w:afterAutospacing="0"/>
                        <w:ind w:right="1303"/>
                        <w:jc w:val="center"/>
                        <w:rPr>
                          <w:rFonts w:ascii="Univers Cd (W1)" w:hAnsi="Univers Cd (W1)" w:cstheme="minorBidi"/>
                          <w:b/>
                          <w:bCs/>
                          <w:color w:val="000000"/>
                          <w:sz w:val="32"/>
                          <w:szCs w:val="32"/>
                        </w:rPr>
                      </w:pPr>
                      <w:r>
                        <w:rPr>
                          <w:rFonts w:ascii="Univers Cd (W1)" w:hAnsi="Univers Cd (W1)" w:cstheme="minorBidi"/>
                          <w:b/>
                          <w:bCs/>
                          <w:color w:val="000000"/>
                          <w:sz w:val="32"/>
                          <w:szCs w:val="32"/>
                        </w:rPr>
                        <w:t>PLANILHA DE COMPOSIÇÕES</w:t>
                      </w:r>
                    </w:p>
                    <w:p w:rsidR="00631D81" w:rsidRDefault="00631D81" w:rsidP="00631D81">
                      <w:pPr>
                        <w:pStyle w:val="NormalWeb"/>
                        <w:spacing w:before="0" w:beforeAutospacing="0" w:after="0" w:afterAutospacing="0"/>
                        <w:jc w:val="center"/>
                      </w:pPr>
                    </w:p>
                  </w:txbxContent>
                </v:textbox>
              </v:roundrect>
            </w:pict>
          </mc:Fallback>
        </mc:AlternateContent>
      </w:r>
    </w:p>
    <w:tbl>
      <w:tblPr>
        <w:tblW w:w="9923" w:type="dxa"/>
        <w:tblCellMar>
          <w:left w:w="70" w:type="dxa"/>
          <w:right w:w="70" w:type="dxa"/>
        </w:tblCellMar>
        <w:tblLook w:val="04A0" w:firstRow="1" w:lastRow="0" w:firstColumn="1" w:lastColumn="0" w:noHBand="0" w:noVBand="1"/>
      </w:tblPr>
      <w:tblGrid>
        <w:gridCol w:w="480"/>
        <w:gridCol w:w="1396"/>
        <w:gridCol w:w="796"/>
        <w:gridCol w:w="3282"/>
        <w:gridCol w:w="976"/>
        <w:gridCol w:w="976"/>
        <w:gridCol w:w="919"/>
        <w:gridCol w:w="875"/>
        <w:gridCol w:w="223"/>
      </w:tblGrid>
      <w:tr w:rsidR="00631D81" w:rsidRPr="00631D81" w:rsidTr="00631D81">
        <w:trPr>
          <w:trHeight w:val="300"/>
        </w:trPr>
        <w:tc>
          <w:tcPr>
            <w:tcW w:w="480"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Calibri" w:eastAsia="Times New Roman" w:hAnsi="Calibri" w:cs="Calibri"/>
                <w:color w:val="000000"/>
                <w:lang w:eastAsia="pt-BR"/>
              </w:rPr>
            </w:pPr>
          </w:p>
          <w:tbl>
            <w:tblPr>
              <w:tblW w:w="0" w:type="auto"/>
              <w:tblCellSpacing w:w="0" w:type="dxa"/>
              <w:tblCellMar>
                <w:left w:w="0" w:type="dxa"/>
                <w:right w:w="0" w:type="dxa"/>
              </w:tblCellMar>
              <w:tblLook w:val="04A0" w:firstRow="1" w:lastRow="0" w:firstColumn="1" w:lastColumn="0" w:noHBand="0" w:noVBand="1"/>
            </w:tblPr>
            <w:tblGrid>
              <w:gridCol w:w="340"/>
            </w:tblGrid>
            <w:tr w:rsidR="00631D81" w:rsidRPr="00631D81">
              <w:trPr>
                <w:trHeight w:val="300"/>
                <w:tblCellSpacing w:w="0" w:type="dxa"/>
              </w:trPr>
              <w:tc>
                <w:tcPr>
                  <w:tcW w:w="34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Calibri" w:eastAsia="Times New Roman" w:hAnsi="Calibri" w:cs="Calibri"/>
                      <w:color w:val="000000"/>
                      <w:lang w:eastAsia="pt-BR"/>
                    </w:rPr>
                  </w:pPr>
                </w:p>
              </w:tc>
            </w:tr>
          </w:tbl>
          <w:p w:rsidR="00631D81" w:rsidRPr="00631D81" w:rsidRDefault="00631D81" w:rsidP="00631D81">
            <w:pPr>
              <w:spacing w:after="0" w:line="240" w:lineRule="auto"/>
              <w:rPr>
                <w:rFonts w:ascii="Calibri" w:eastAsia="Times New Roman" w:hAnsi="Calibri" w:cs="Calibri"/>
                <w:color w:val="00000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r w:rsidRPr="00631D81">
              <w:rPr>
                <w:rFonts w:ascii="Calibri" w:eastAsia="Times New Roman" w:hAnsi="Calibri" w:cs="Calibri"/>
                <w:noProof/>
                <w:color w:val="000000"/>
                <w:lang w:eastAsia="pt-BR"/>
              </w:rPr>
              <mc:AlternateContent>
                <mc:Choice Requires="wpg">
                  <w:drawing>
                    <wp:anchor distT="0" distB="0" distL="114300" distR="114300" simplePos="0" relativeHeight="251658752" behindDoc="0" locked="0" layoutInCell="1" allowOverlap="1">
                      <wp:simplePos x="0" y="0"/>
                      <wp:positionH relativeFrom="column">
                        <wp:posOffset>-1809750</wp:posOffset>
                      </wp:positionH>
                      <wp:positionV relativeFrom="paragraph">
                        <wp:posOffset>-661670</wp:posOffset>
                      </wp:positionV>
                      <wp:extent cx="6334125" cy="1524000"/>
                      <wp:effectExtent l="0" t="0" r="0" b="0"/>
                      <wp:wrapNone/>
                      <wp:docPr id="4" name="Grupo 4"/>
                      <wp:cNvGraphicFramePr/>
                      <a:graphic xmlns:a="http://schemas.openxmlformats.org/drawingml/2006/main">
                        <a:graphicData uri="http://schemas.microsoft.com/office/word/2010/wordprocessingGroup">
                          <wpg:wgp>
                            <wpg:cNvGrpSpPr/>
                            <wpg:grpSpPr>
                              <a:xfrm>
                                <a:off x="0" y="0"/>
                                <a:ext cx="5457825" cy="1304919"/>
                                <a:chOff x="0" y="0"/>
                                <a:chExt cx="5457825" cy="1304919"/>
                              </a:xfrm>
                            </wpg:grpSpPr>
                            <pic:pic xmlns:pic="http://schemas.openxmlformats.org/drawingml/2006/picture">
                              <pic:nvPicPr>
                                <pic:cNvPr id="7"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2631" y="0"/>
                                  <a:ext cx="762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8"/>
                              <wps:cNvSpPr>
                                <a:spLocks noChangeArrowheads="1"/>
                              </wps:cNvSpPr>
                              <wps:spPr bwMode="auto">
                                <a:xfrm>
                                  <a:off x="0" y="771521"/>
                                  <a:ext cx="5457825" cy="533398"/>
                                </a:xfrm>
                                <a:prstGeom prst="rect">
                                  <a:avLst/>
                                </a:prstGeom>
                                <a:noFill/>
                                <a:ln w="9525">
                                  <a:noFill/>
                                  <a:miter lim="800000"/>
                                  <a:headEnd/>
                                  <a:tailEnd/>
                                </a:ln>
                              </wps:spPr>
                              <wps:txbx>
                                <w:txbxContent>
                                  <w:p w:rsidR="00631D81" w:rsidRDefault="00631D81" w:rsidP="00631D81">
                                    <w:pPr>
                                      <w:pStyle w:val="NormalWeb"/>
                                      <w:bidi/>
                                      <w:spacing w:before="0" w:beforeAutospacing="0" w:after="0" w:afterAutospacing="0"/>
                                      <w:jc w:val="center"/>
                                    </w:pPr>
                                    <w:r>
                                      <w:rPr>
                                        <w:rFonts w:ascii="Univers (W1)" w:hAnsi="Univers (W1)" w:cstheme="minorBidi"/>
                                        <w:b/>
                                        <w:bCs/>
                                        <w:color w:val="000000"/>
                                        <w:sz w:val="34"/>
                                        <w:szCs w:val="34"/>
                                      </w:rPr>
                                      <w:t>PREFEITURA DO MUNICÍPIO DE ARARAQUARA</w:t>
                                    </w:r>
                                  </w:p>
                                  <w:p w:rsidR="00631D81" w:rsidRDefault="00631D81" w:rsidP="00631D81">
                                    <w:pPr>
                                      <w:pStyle w:val="NormalWeb"/>
                                      <w:bidi/>
                                      <w:spacing w:before="0" w:beforeAutospacing="0" w:after="0" w:afterAutospacing="0"/>
                                      <w:jc w:val="center"/>
                                    </w:pPr>
                                    <w:r>
                                      <w:rPr>
                                        <w:rFonts w:ascii="Univers (W1)" w:hAnsi="Univers (W1)" w:cstheme="minorBidi"/>
                                        <w:b/>
                                        <w:bCs/>
                                        <w:color w:val="000000"/>
                                        <w:sz w:val="34"/>
                                        <w:szCs w:val="34"/>
                                      </w:rPr>
                                      <w:t>Secretaria de Obras e Serviços Públicos</w:t>
                                    </w:r>
                                  </w:p>
                                </w:txbxContent>
                              </wps:txbx>
                              <wps:bodyPr wrap="square" lIns="0" tIns="0" rIns="0" bIns="0" anchor="t" upright="1"/>
                            </wps:wsp>
                          </wpg:wgp>
                        </a:graphicData>
                      </a:graphic>
                      <wp14:sizeRelH relativeFrom="page">
                        <wp14:pctWidth>0</wp14:pctWidth>
                      </wp14:sizeRelH>
                      <wp14:sizeRelV relativeFrom="page">
                        <wp14:pctHeight>0</wp14:pctHeight>
                      </wp14:sizeRelV>
                    </wp:anchor>
                  </w:drawing>
                </mc:Choice>
                <mc:Fallback>
                  <w:pict>
                    <v:group id="Grupo 4" o:spid="_x0000_s1028" style="position:absolute;margin-left:-142.5pt;margin-top:-52.1pt;width:498.75pt;height:120pt;z-index:251658240" coordsize="54578,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23926;width:762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gbpTEAAAA2gAAAA8AAABkcnMvZG93bnJldi54bWxEj0trwzAQhO+B/gexhV5CIyeHJjiRTR8p&#10;FAKBPEqui7W1TK2VkZTE/vdRoZDjMDPfMKuyt624kA+NYwXTSQaCuHK64VrB8fD5vAARIrLG1jEp&#10;GChAWTyMVphrd+UdXfaxFgnCIUcFJsYulzJUhiyGieuIk/fjvMWYpK+l9nhNcNvKWZa9SIsNpwWD&#10;Hb0bqn73Z6vAn9sxf5i36WmznlXj4/cg19tBqafH/nUJIlIf7+H/9pdWMIe/K+kGy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gbpTEAAAA2gAAAA8AAAAAAAAAAAAAAAAA&#10;nwIAAGRycy9kb3ducmV2LnhtbFBLBQYAAAAABAAEAPcAAACQAwAAAAA=&#10;">
                        <v:imagedata r:id="rId9" o:title=""/>
                      </v:shape>
                      <v:rect id="Rectangle 18" o:spid="_x0000_s1030" style="position:absolute;top:7715;width:5457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31D81" w:rsidRDefault="00631D81" w:rsidP="00631D81">
                              <w:pPr>
                                <w:pStyle w:val="NormalWeb"/>
                                <w:bidi/>
                                <w:spacing w:before="0" w:beforeAutospacing="0" w:after="0" w:afterAutospacing="0"/>
                                <w:jc w:val="center"/>
                              </w:pPr>
                              <w:r>
                                <w:rPr>
                                  <w:rFonts w:ascii="Univers (W1)" w:hAnsi="Univers (W1)" w:cstheme="minorBidi"/>
                                  <w:b/>
                                  <w:bCs/>
                                  <w:color w:val="000000"/>
                                  <w:sz w:val="34"/>
                                  <w:szCs w:val="34"/>
                                </w:rPr>
                                <w:t>PREFEITURA DO MUNICÍPIO DE ARARAQUARA</w:t>
                              </w:r>
                            </w:p>
                            <w:p w:rsidR="00631D81" w:rsidRDefault="00631D81" w:rsidP="00631D81">
                              <w:pPr>
                                <w:pStyle w:val="NormalWeb"/>
                                <w:bidi/>
                                <w:spacing w:before="0" w:beforeAutospacing="0" w:after="0" w:afterAutospacing="0"/>
                                <w:jc w:val="center"/>
                              </w:pPr>
                              <w:r>
                                <w:rPr>
                                  <w:rFonts w:ascii="Univers (W1)" w:hAnsi="Univers (W1)" w:cstheme="minorBidi"/>
                                  <w:b/>
                                  <w:bCs/>
                                  <w:color w:val="000000"/>
                                  <w:sz w:val="34"/>
                                  <w:szCs w:val="34"/>
                                </w:rPr>
                                <w:t>Secretaria de Obras e Serviços Públicos</w:t>
                              </w:r>
                            </w:p>
                          </w:txbxContent>
                        </v:textbox>
                      </v:rect>
                    </v:group>
                  </w:pict>
                </mc:Fallback>
              </mc:AlternateContent>
            </w: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0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tcPr>
          <w:p w:rsidR="00631D81" w:rsidRDefault="00631D81" w:rsidP="00631D81">
            <w:pPr>
              <w:spacing w:after="0" w:line="240" w:lineRule="auto"/>
              <w:rPr>
                <w:rFonts w:ascii="Times New Roman" w:eastAsia="Times New Roman" w:hAnsi="Times New Roman" w:cs="Times New Roman"/>
                <w:sz w:val="20"/>
                <w:szCs w:val="20"/>
                <w:lang w:eastAsia="pt-BR"/>
              </w:rPr>
            </w:pPr>
          </w:p>
          <w:p w:rsidR="00631D81" w:rsidRDefault="00631D81" w:rsidP="00631D81">
            <w:pPr>
              <w:spacing w:after="0" w:line="240" w:lineRule="auto"/>
              <w:rPr>
                <w:rFonts w:ascii="Times New Roman" w:eastAsia="Times New Roman" w:hAnsi="Times New Roman" w:cs="Times New Roman"/>
                <w:sz w:val="20"/>
                <w:szCs w:val="20"/>
                <w:lang w:eastAsia="pt-BR"/>
              </w:rPr>
            </w:pPr>
          </w:p>
          <w:p w:rsidR="00631D81" w:rsidRDefault="00631D81" w:rsidP="00631D81">
            <w:pPr>
              <w:spacing w:after="0" w:line="240" w:lineRule="auto"/>
              <w:rPr>
                <w:rFonts w:ascii="Times New Roman" w:eastAsia="Times New Roman" w:hAnsi="Times New Roman" w:cs="Times New Roman"/>
                <w:sz w:val="20"/>
                <w:szCs w:val="20"/>
                <w:lang w:eastAsia="pt-BR"/>
              </w:rPr>
            </w:pPr>
          </w:p>
          <w:p w:rsidR="00631D81" w:rsidRDefault="00631D81" w:rsidP="00631D81">
            <w:pPr>
              <w:spacing w:after="0" w:line="240" w:lineRule="auto"/>
              <w:rPr>
                <w:rFonts w:ascii="Times New Roman" w:eastAsia="Times New Roman" w:hAnsi="Times New Roman" w:cs="Times New Roman"/>
                <w:sz w:val="20"/>
                <w:szCs w:val="20"/>
                <w:lang w:eastAsia="pt-BR"/>
              </w:rPr>
            </w:pPr>
          </w:p>
          <w:p w:rsidR="00631D81" w:rsidRDefault="00631D81" w:rsidP="00631D81">
            <w:pPr>
              <w:spacing w:after="0" w:line="240" w:lineRule="auto"/>
              <w:rPr>
                <w:rFonts w:ascii="Times New Roman" w:eastAsia="Times New Roman" w:hAnsi="Times New Roman" w:cs="Times New Roman"/>
                <w:sz w:val="20"/>
                <w:szCs w:val="20"/>
                <w:lang w:eastAsia="pt-BR"/>
              </w:rPr>
            </w:pPr>
          </w:p>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3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9220" w:type="dxa"/>
            <w:gridSpan w:val="7"/>
            <w:tcBorders>
              <w:top w:val="single" w:sz="8" w:space="0" w:color="auto"/>
              <w:left w:val="nil"/>
              <w:bottom w:val="nil"/>
              <w:right w:val="single" w:sz="8" w:space="0" w:color="000000"/>
            </w:tcBorders>
            <w:shd w:val="clear" w:color="auto" w:fill="auto"/>
            <w:noWrap/>
            <w:vAlign w:val="center"/>
            <w:hideMark/>
          </w:tcPr>
          <w:p w:rsidR="00631D81" w:rsidRPr="00631D81" w:rsidRDefault="00631D81" w:rsidP="00631D81">
            <w:pPr>
              <w:spacing w:after="0" w:line="240" w:lineRule="auto"/>
              <w:jc w:val="center"/>
              <w:rPr>
                <w:rFonts w:ascii="Calibri" w:eastAsia="Times New Roman" w:hAnsi="Calibri" w:cs="Calibri"/>
                <w:color w:val="000000"/>
                <w:lang w:eastAsia="pt-BR"/>
              </w:rPr>
            </w:pPr>
            <w:r w:rsidRPr="00631D81">
              <w:rPr>
                <w:rFonts w:ascii="Calibri" w:eastAsia="Times New Roman" w:hAnsi="Calibri" w:cs="Calibri"/>
                <w:color w:val="000000"/>
                <w:lang w:eastAsia="pt-BR"/>
              </w:rPr>
              <w:t>Composição de unidade para "Placa de identificação de aço galvanizado com pintura em esmalte sintético, inclusive fixação"</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Calibri" w:eastAsia="Times New Roman" w:hAnsi="Calibri" w:cs="Calibri"/>
                <w:color w:val="000000"/>
                <w:lang w:eastAsia="pt-BR"/>
              </w:rPr>
            </w:pPr>
          </w:p>
        </w:tc>
      </w:tr>
      <w:tr w:rsidR="00631D81" w:rsidRPr="00631D81" w:rsidTr="00631D81">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97.05.100</w:t>
            </w:r>
          </w:p>
        </w:tc>
        <w:tc>
          <w:tcPr>
            <w:tcW w:w="7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Sinalização vertical em placa de aço galvanizada com pintura em esmalte sintético</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proofErr w:type="gramStart"/>
            <w:r w:rsidRPr="00631D81">
              <w:rPr>
                <w:rFonts w:ascii="Arial" w:eastAsia="Times New Roman" w:hAnsi="Arial" w:cs="Arial"/>
                <w:sz w:val="16"/>
                <w:szCs w:val="16"/>
                <w:lang w:eastAsia="pt-BR"/>
              </w:rPr>
              <w:t>m</w:t>
            </w:r>
            <w:proofErr w:type="gramEnd"/>
            <w:r w:rsidRPr="00631D81">
              <w:rPr>
                <w:rFonts w:ascii="Arial" w:eastAsia="Times New Roman" w:hAnsi="Arial" w:cs="Arial"/>
                <w:sz w:val="16"/>
                <w:szCs w:val="16"/>
                <w:lang w:eastAsia="pt-BR"/>
              </w:rPr>
              <w:t>²</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0,0130</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721,07 </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9,37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631D81">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p>
        </w:tc>
        <w:tc>
          <w:tcPr>
            <w:tcW w:w="3282"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sz w:val="16"/>
                <w:szCs w:val="16"/>
                <w:lang w:eastAsia="pt-BR"/>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sz w:val="16"/>
                <w:szCs w:val="16"/>
                <w:lang w:eastAsia="pt-BR"/>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sz w:val="16"/>
                <w:szCs w:val="16"/>
                <w:lang w:eastAsia="pt-BR"/>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631D81" w:rsidRPr="00631D81" w:rsidRDefault="00631D81" w:rsidP="00631D81">
            <w:pPr>
              <w:spacing w:after="0" w:line="240" w:lineRule="auto"/>
              <w:rPr>
                <w:rFonts w:ascii="Arial" w:eastAsia="Times New Roman" w:hAnsi="Arial" w:cs="Arial"/>
                <w:sz w:val="16"/>
                <w:szCs w:val="16"/>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p>
        </w:tc>
      </w:tr>
      <w:tr w:rsidR="00631D81" w:rsidRPr="00631D81" w:rsidTr="00631D81">
        <w:trPr>
          <w:trHeight w:val="33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461035">
        <w:trPr>
          <w:trHeight w:val="33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796" w:type="dxa"/>
            <w:tcBorders>
              <w:top w:val="nil"/>
              <w:left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Arial" w:eastAsia="Times New Roman" w:hAnsi="Arial" w:cs="Arial"/>
                <w:sz w:val="16"/>
                <w:szCs w:val="16"/>
                <w:lang w:eastAsia="pt-BR"/>
              </w:rPr>
            </w:pPr>
            <w:r w:rsidRPr="00631D81">
              <w:rPr>
                <w:rFonts w:ascii="Arial" w:eastAsia="Times New Roman" w:hAnsi="Arial" w:cs="Arial"/>
                <w:sz w:val="16"/>
                <w:szCs w:val="16"/>
                <w:lang w:eastAsia="pt-BR"/>
              </w:rPr>
              <w:t>TOTAL</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Calibri" w:eastAsia="Times New Roman" w:hAnsi="Calibri" w:cs="Calibri"/>
                <w:color w:val="000000"/>
                <w:sz w:val="16"/>
                <w:szCs w:val="16"/>
                <w:lang w:eastAsia="pt-BR"/>
              </w:rPr>
            </w:pPr>
            <w:r w:rsidRPr="00631D81">
              <w:rPr>
                <w:rFonts w:ascii="Calibri" w:eastAsia="Times New Roman" w:hAnsi="Calibri" w:cs="Calibri"/>
                <w:color w:val="000000"/>
                <w:sz w:val="16"/>
                <w:szCs w:val="16"/>
                <w:lang w:eastAsia="pt-BR"/>
              </w:rPr>
              <w:t xml:space="preserve"> R$             9,37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Calibri" w:eastAsia="Times New Roman" w:hAnsi="Calibri" w:cs="Calibri"/>
                <w:color w:val="000000"/>
                <w:lang w:eastAsia="pt-BR"/>
              </w:rPr>
            </w:pPr>
          </w:p>
        </w:tc>
      </w:tr>
      <w:tr w:rsidR="00631D81" w:rsidRPr="00631D81" w:rsidTr="00461035">
        <w:trPr>
          <w:trHeight w:val="330"/>
        </w:trPr>
        <w:tc>
          <w:tcPr>
            <w:tcW w:w="480" w:type="dxa"/>
            <w:tcBorders>
              <w:top w:val="nil"/>
              <w:left w:val="single" w:sz="8" w:space="0" w:color="auto"/>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1396" w:type="dxa"/>
            <w:tcBorders>
              <w:top w:val="nil"/>
              <w:left w:val="nil"/>
              <w:bottom w:val="nil"/>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p>
        </w:tc>
        <w:tc>
          <w:tcPr>
            <w:tcW w:w="796" w:type="dxa"/>
            <w:tcBorders>
              <w:top w:val="nil"/>
              <w:left w:val="nil"/>
              <w:bottom w:val="single" w:sz="4" w:space="0" w:color="auto"/>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r>
      <w:tr w:rsidR="00631D81" w:rsidRPr="00631D81" w:rsidTr="00631D81">
        <w:trPr>
          <w:trHeight w:val="315"/>
        </w:trPr>
        <w:tc>
          <w:tcPr>
            <w:tcW w:w="970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Composição de Caixa de passagem 30x30x40</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0"/>
                <w:szCs w:val="20"/>
                <w:lang w:eastAsia="pt-BR"/>
              </w:rPr>
            </w:pPr>
          </w:p>
        </w:tc>
      </w:tr>
      <w:tr w:rsidR="00631D81" w:rsidRPr="00631D81" w:rsidTr="00631D81">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1</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11.01.100</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tcBorders>
              <w:top w:val="single" w:sz="4" w:space="0" w:color="auto"/>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 xml:space="preserve">Concreto usinado, </w:t>
            </w:r>
            <w:proofErr w:type="spellStart"/>
            <w:r w:rsidRPr="00631D81">
              <w:rPr>
                <w:rFonts w:ascii="Arial" w:eastAsia="Times New Roman" w:hAnsi="Arial" w:cs="Arial"/>
                <w:color w:val="000000"/>
                <w:sz w:val="20"/>
                <w:szCs w:val="20"/>
                <w:lang w:eastAsia="pt-BR"/>
              </w:rPr>
              <w:t>fck</w:t>
            </w:r>
            <w:proofErr w:type="spellEnd"/>
            <w:r w:rsidRPr="00631D81">
              <w:rPr>
                <w:rFonts w:ascii="Arial" w:eastAsia="Times New Roman" w:hAnsi="Arial" w:cs="Arial"/>
                <w:color w:val="000000"/>
                <w:sz w:val="20"/>
                <w:szCs w:val="20"/>
                <w:lang w:eastAsia="pt-BR"/>
              </w:rPr>
              <w:t xml:space="preserve"> = 20 MPa</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proofErr w:type="gramStart"/>
            <w:r w:rsidRPr="00631D81">
              <w:rPr>
                <w:rFonts w:ascii="Arial" w:eastAsia="Times New Roman" w:hAnsi="Arial" w:cs="Arial"/>
                <w:color w:val="000000"/>
                <w:sz w:val="16"/>
                <w:szCs w:val="16"/>
                <w:lang w:eastAsia="pt-BR"/>
              </w:rPr>
              <w:t>m</w:t>
            </w:r>
            <w:proofErr w:type="gramEnd"/>
            <w:r w:rsidRPr="00631D81">
              <w:rPr>
                <w:rFonts w:ascii="Arial" w:eastAsia="Times New Roman" w:hAnsi="Arial" w:cs="Arial"/>
                <w:color w:val="000000"/>
                <w:sz w:val="16"/>
                <w:szCs w:val="16"/>
                <w:lang w:eastAsia="pt-BR"/>
              </w:rPr>
              <w:t>³</w:t>
            </w:r>
          </w:p>
        </w:tc>
        <w:tc>
          <w:tcPr>
            <w:tcW w:w="976" w:type="dxa"/>
            <w:tcBorders>
              <w:top w:val="nil"/>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0,0285</w:t>
            </w: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308,25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8,79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631D81">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2</w:t>
            </w:r>
          </w:p>
        </w:tc>
        <w:tc>
          <w:tcPr>
            <w:tcW w:w="1396"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10.02.020</w:t>
            </w:r>
          </w:p>
        </w:tc>
        <w:tc>
          <w:tcPr>
            <w:tcW w:w="79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Armadura em tela soldada de aço</w:t>
            </w:r>
          </w:p>
        </w:tc>
        <w:tc>
          <w:tcPr>
            <w:tcW w:w="97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proofErr w:type="gramStart"/>
            <w:r w:rsidRPr="00631D81">
              <w:rPr>
                <w:rFonts w:ascii="Arial" w:eastAsia="Times New Roman" w:hAnsi="Arial" w:cs="Arial"/>
                <w:color w:val="000000"/>
                <w:sz w:val="16"/>
                <w:szCs w:val="16"/>
                <w:lang w:eastAsia="pt-BR"/>
              </w:rPr>
              <w:t>kg</w:t>
            </w:r>
            <w:proofErr w:type="gramEnd"/>
          </w:p>
        </w:tc>
        <w:tc>
          <w:tcPr>
            <w:tcW w:w="976" w:type="dxa"/>
            <w:tcBorders>
              <w:top w:val="nil"/>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0,3</w:t>
            </w: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7,98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2,39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631D81">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3</w:t>
            </w:r>
          </w:p>
        </w:tc>
        <w:tc>
          <w:tcPr>
            <w:tcW w:w="1396" w:type="dxa"/>
            <w:tcBorders>
              <w:top w:val="nil"/>
              <w:left w:val="single" w:sz="4" w:space="0" w:color="auto"/>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09.01.020</w:t>
            </w:r>
          </w:p>
        </w:tc>
        <w:tc>
          <w:tcPr>
            <w:tcW w:w="79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tcBorders>
              <w:top w:val="nil"/>
              <w:left w:val="nil"/>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Forma em madeira comum para fundação</w:t>
            </w:r>
          </w:p>
        </w:tc>
        <w:tc>
          <w:tcPr>
            <w:tcW w:w="97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proofErr w:type="gramStart"/>
            <w:r w:rsidRPr="00631D81">
              <w:rPr>
                <w:rFonts w:ascii="Arial" w:eastAsia="Times New Roman" w:hAnsi="Arial" w:cs="Arial"/>
                <w:color w:val="000000"/>
                <w:sz w:val="16"/>
                <w:szCs w:val="16"/>
                <w:lang w:eastAsia="pt-BR"/>
              </w:rPr>
              <w:t>m</w:t>
            </w:r>
            <w:proofErr w:type="gramEnd"/>
            <w:r w:rsidRPr="00631D81">
              <w:rPr>
                <w:rFonts w:ascii="Arial" w:eastAsia="Times New Roman" w:hAnsi="Arial" w:cs="Arial"/>
                <w:color w:val="000000"/>
                <w:sz w:val="16"/>
                <w:szCs w:val="16"/>
                <w:lang w:eastAsia="pt-BR"/>
              </w:rPr>
              <w:t>²</w:t>
            </w:r>
          </w:p>
        </w:tc>
        <w:tc>
          <w:tcPr>
            <w:tcW w:w="976" w:type="dxa"/>
            <w:tcBorders>
              <w:top w:val="nil"/>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0,91</w:t>
            </w: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69,25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63,02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631D81">
        <w:trPr>
          <w:trHeight w:val="52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4</w:t>
            </w:r>
          </w:p>
        </w:tc>
        <w:tc>
          <w:tcPr>
            <w:tcW w:w="1396" w:type="dxa"/>
            <w:tcBorders>
              <w:top w:val="nil"/>
              <w:left w:val="single" w:sz="4" w:space="0" w:color="auto"/>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06.01.020</w:t>
            </w:r>
          </w:p>
        </w:tc>
        <w:tc>
          <w:tcPr>
            <w:tcW w:w="79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tcBorders>
              <w:top w:val="nil"/>
              <w:left w:val="nil"/>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Escavação manual em solo de 1ª e 2ª categoria em campo aberto</w:t>
            </w:r>
          </w:p>
        </w:tc>
        <w:tc>
          <w:tcPr>
            <w:tcW w:w="97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proofErr w:type="gramStart"/>
            <w:r w:rsidRPr="00631D81">
              <w:rPr>
                <w:rFonts w:ascii="Arial" w:eastAsia="Times New Roman" w:hAnsi="Arial" w:cs="Arial"/>
                <w:color w:val="000000"/>
                <w:sz w:val="16"/>
                <w:szCs w:val="16"/>
                <w:lang w:eastAsia="pt-BR"/>
              </w:rPr>
              <w:t>m</w:t>
            </w:r>
            <w:proofErr w:type="gramEnd"/>
            <w:r w:rsidRPr="00631D81">
              <w:rPr>
                <w:rFonts w:ascii="Arial" w:eastAsia="Times New Roman" w:hAnsi="Arial" w:cs="Arial"/>
                <w:color w:val="000000"/>
                <w:sz w:val="16"/>
                <w:szCs w:val="16"/>
                <w:lang w:eastAsia="pt-BR"/>
              </w:rPr>
              <w:t>³</w:t>
            </w:r>
          </w:p>
        </w:tc>
        <w:tc>
          <w:tcPr>
            <w:tcW w:w="976" w:type="dxa"/>
            <w:tcBorders>
              <w:top w:val="nil"/>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0,054</w:t>
            </w: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40,23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2,17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461035">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5</w:t>
            </w:r>
          </w:p>
        </w:tc>
        <w:tc>
          <w:tcPr>
            <w:tcW w:w="1396" w:type="dxa"/>
            <w:tcBorders>
              <w:top w:val="nil"/>
              <w:left w:val="single" w:sz="4" w:space="0" w:color="auto"/>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08.05.100</w:t>
            </w:r>
          </w:p>
        </w:tc>
        <w:tc>
          <w:tcPr>
            <w:tcW w:w="79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tcBorders>
              <w:top w:val="nil"/>
              <w:left w:val="nil"/>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Dreno com pedra britada</w:t>
            </w:r>
          </w:p>
        </w:tc>
        <w:tc>
          <w:tcPr>
            <w:tcW w:w="97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proofErr w:type="gramStart"/>
            <w:r w:rsidRPr="00631D81">
              <w:rPr>
                <w:rFonts w:ascii="Arial" w:eastAsia="Times New Roman" w:hAnsi="Arial" w:cs="Arial"/>
                <w:color w:val="000000"/>
                <w:sz w:val="16"/>
                <w:szCs w:val="16"/>
                <w:lang w:eastAsia="pt-BR"/>
              </w:rPr>
              <w:t>m</w:t>
            </w:r>
            <w:proofErr w:type="gramEnd"/>
            <w:r w:rsidRPr="00631D81">
              <w:rPr>
                <w:rFonts w:ascii="Arial" w:eastAsia="Times New Roman" w:hAnsi="Arial" w:cs="Arial"/>
                <w:color w:val="000000"/>
                <w:sz w:val="16"/>
                <w:szCs w:val="16"/>
                <w:lang w:eastAsia="pt-BR"/>
              </w:rPr>
              <w:t>³</w:t>
            </w:r>
          </w:p>
        </w:tc>
        <w:tc>
          <w:tcPr>
            <w:tcW w:w="976" w:type="dxa"/>
            <w:tcBorders>
              <w:top w:val="nil"/>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0,009</w:t>
            </w: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right"/>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96,27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0,87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461035">
        <w:trPr>
          <w:trHeight w:val="52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6</w:t>
            </w:r>
          </w:p>
        </w:tc>
        <w:tc>
          <w:tcPr>
            <w:tcW w:w="1396" w:type="dxa"/>
            <w:tcBorders>
              <w:top w:val="single" w:sz="4" w:space="0" w:color="auto"/>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Courier New" w:eastAsia="Times New Roman" w:hAnsi="Courier New" w:cs="Courier New"/>
                <w:sz w:val="20"/>
                <w:szCs w:val="20"/>
                <w:lang w:eastAsia="pt-BR"/>
              </w:rPr>
            </w:pPr>
            <w:r w:rsidRPr="00631D81">
              <w:rPr>
                <w:rFonts w:ascii="Courier New" w:eastAsia="Times New Roman" w:hAnsi="Courier New" w:cs="Courier New"/>
                <w:sz w:val="20"/>
                <w:szCs w:val="20"/>
                <w:lang w:eastAsia="pt-BR"/>
              </w:rPr>
              <w:t>88309</w:t>
            </w:r>
          </w:p>
        </w:tc>
        <w:tc>
          <w:tcPr>
            <w:tcW w:w="796"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SINAPI</w:t>
            </w:r>
          </w:p>
        </w:tc>
        <w:tc>
          <w:tcPr>
            <w:tcW w:w="3282" w:type="dxa"/>
            <w:tcBorders>
              <w:top w:val="nil"/>
              <w:left w:val="nil"/>
              <w:bottom w:val="single" w:sz="4" w:space="0" w:color="auto"/>
              <w:right w:val="single" w:sz="4" w:space="0" w:color="auto"/>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Pedreiro com encargos complementares</w:t>
            </w:r>
          </w:p>
        </w:tc>
        <w:tc>
          <w:tcPr>
            <w:tcW w:w="97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proofErr w:type="gramStart"/>
            <w:r w:rsidRPr="00631D81">
              <w:rPr>
                <w:rFonts w:ascii="Arial" w:eastAsia="Times New Roman" w:hAnsi="Arial" w:cs="Arial"/>
                <w:color w:val="000000"/>
                <w:sz w:val="16"/>
                <w:szCs w:val="16"/>
                <w:lang w:eastAsia="pt-BR"/>
              </w:rPr>
              <w:t>h</w:t>
            </w:r>
            <w:proofErr w:type="gramEnd"/>
          </w:p>
        </w:tc>
        <w:tc>
          <w:tcPr>
            <w:tcW w:w="976" w:type="dxa"/>
            <w:tcBorders>
              <w:top w:val="nil"/>
              <w:left w:val="nil"/>
              <w:bottom w:val="single" w:sz="4" w:space="0" w:color="auto"/>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1,500</w:t>
            </w: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right"/>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24,48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36,72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461035">
        <w:trPr>
          <w:trHeight w:val="330"/>
        </w:trPr>
        <w:tc>
          <w:tcPr>
            <w:tcW w:w="480" w:type="dxa"/>
            <w:tcBorders>
              <w:top w:val="nil"/>
              <w:left w:val="nil"/>
              <w:bottom w:val="nil"/>
              <w:right w:val="nil"/>
            </w:tcBorders>
            <w:shd w:val="clear" w:color="auto" w:fill="auto"/>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single" w:sz="4" w:space="0" w:color="auto"/>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 </w:t>
            </w:r>
          </w:p>
        </w:tc>
        <w:tc>
          <w:tcPr>
            <w:tcW w:w="3282" w:type="dxa"/>
            <w:tcBorders>
              <w:top w:val="nil"/>
              <w:left w:val="nil"/>
              <w:bottom w:val="nil"/>
              <w:right w:val="nil"/>
            </w:tcBorders>
            <w:shd w:val="clear" w:color="000000" w:fill="FFFFFF"/>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 </w:t>
            </w:r>
          </w:p>
        </w:tc>
        <w:tc>
          <w:tcPr>
            <w:tcW w:w="976" w:type="dxa"/>
            <w:tcBorders>
              <w:top w:val="nil"/>
              <w:left w:val="nil"/>
              <w:bottom w:val="nil"/>
              <w:right w:val="nil"/>
            </w:tcBorders>
            <w:shd w:val="clear" w:color="000000" w:fill="FFFFFF"/>
            <w:vAlign w:val="center"/>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 </w:t>
            </w: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p>
        </w:tc>
        <w:tc>
          <w:tcPr>
            <w:tcW w:w="919" w:type="dxa"/>
            <w:tcBorders>
              <w:top w:val="nil"/>
              <w:left w:val="nil"/>
              <w:bottom w:val="nil"/>
              <w:right w:val="nil"/>
            </w:tcBorders>
            <w:shd w:val="clear" w:color="000000" w:fill="FFFFFF"/>
            <w:vAlign w:val="center"/>
            <w:hideMark/>
          </w:tcPr>
          <w:p w:rsidR="00631D81" w:rsidRPr="00631D81" w:rsidRDefault="00631D81" w:rsidP="00631D81">
            <w:pPr>
              <w:spacing w:after="0" w:line="240" w:lineRule="auto"/>
              <w:jc w:val="right"/>
              <w:rPr>
                <w:rFonts w:ascii="Arial" w:eastAsia="Times New Roman" w:hAnsi="Arial" w:cs="Arial"/>
                <w:color w:val="000000"/>
                <w:sz w:val="24"/>
                <w:szCs w:val="24"/>
                <w:lang w:eastAsia="pt-BR"/>
              </w:rPr>
            </w:pPr>
            <w:r w:rsidRPr="00631D81">
              <w:rPr>
                <w:rFonts w:ascii="Arial" w:eastAsia="Times New Roman" w:hAnsi="Arial" w:cs="Arial"/>
                <w:color w:val="000000"/>
                <w:sz w:val="24"/>
                <w:szCs w:val="24"/>
                <w:lang w:eastAsia="pt-BR"/>
              </w:rPr>
              <w:t> </w:t>
            </w: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right"/>
              <w:rPr>
                <w:rFonts w:ascii="Arial" w:eastAsia="Times New Roman" w:hAnsi="Arial" w:cs="Arial"/>
                <w:color w:val="000000"/>
                <w:sz w:val="24"/>
                <w:szCs w:val="24"/>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Arial" w:eastAsia="Times New Roman" w:hAnsi="Arial" w:cs="Arial"/>
                <w:sz w:val="20"/>
                <w:szCs w:val="20"/>
                <w:lang w:eastAsia="pt-BR"/>
              </w:rPr>
            </w:pPr>
            <w:r w:rsidRPr="00631D81">
              <w:rPr>
                <w:rFonts w:ascii="Arial" w:eastAsia="Times New Roman" w:hAnsi="Arial" w:cs="Arial"/>
                <w:sz w:val="20"/>
                <w:szCs w:val="20"/>
                <w:lang w:eastAsia="pt-BR"/>
              </w:rPr>
              <w:t>TOTAL</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Calibri" w:eastAsia="Times New Roman" w:hAnsi="Calibri" w:cs="Calibri"/>
                <w:color w:val="000000"/>
                <w:lang w:eastAsia="pt-BR"/>
              </w:rPr>
            </w:pPr>
            <w:r w:rsidRPr="00631D81">
              <w:rPr>
                <w:rFonts w:ascii="Calibri" w:eastAsia="Times New Roman" w:hAnsi="Calibri" w:cs="Calibri"/>
                <w:color w:val="000000"/>
                <w:lang w:eastAsia="pt-BR"/>
              </w:rPr>
              <w:t xml:space="preserve"> R$         113,96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Calibri" w:eastAsia="Times New Roman" w:hAnsi="Calibri" w:cs="Calibri"/>
                <w:color w:val="00000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15"/>
        </w:trPr>
        <w:tc>
          <w:tcPr>
            <w:tcW w:w="970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Composição de unidade de Serviço de Manutenção </w:t>
            </w:r>
            <w:proofErr w:type="spellStart"/>
            <w:r w:rsidRPr="00631D81">
              <w:rPr>
                <w:rFonts w:ascii="Arial" w:eastAsia="Times New Roman" w:hAnsi="Arial" w:cs="Arial"/>
                <w:sz w:val="16"/>
                <w:szCs w:val="16"/>
                <w:lang w:eastAsia="pt-BR"/>
              </w:rPr>
              <w:t>viaria</w:t>
            </w:r>
            <w:proofErr w:type="spellEnd"/>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0"/>
                <w:szCs w:val="20"/>
                <w:lang w:eastAsia="pt-BR"/>
              </w:rPr>
            </w:pPr>
          </w:p>
        </w:tc>
      </w:tr>
      <w:tr w:rsidR="00631D81" w:rsidRPr="00631D81" w:rsidTr="00631D81">
        <w:trPr>
          <w:trHeight w:val="585"/>
        </w:trPr>
        <w:tc>
          <w:tcPr>
            <w:tcW w:w="480" w:type="dxa"/>
            <w:tcBorders>
              <w:top w:val="nil"/>
              <w:left w:val="single" w:sz="8" w:space="0" w:color="auto"/>
              <w:bottom w:val="single" w:sz="8" w:space="0" w:color="auto"/>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71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D81" w:rsidRPr="00631D81" w:rsidRDefault="00631D81" w:rsidP="00631D81">
            <w:pPr>
              <w:spacing w:after="0" w:line="240" w:lineRule="auto"/>
              <w:jc w:val="center"/>
              <w:rPr>
                <w:rFonts w:ascii="Arial" w:eastAsia="Times New Roman" w:hAnsi="Arial" w:cs="Arial"/>
                <w:sz w:val="20"/>
                <w:szCs w:val="20"/>
                <w:lang w:eastAsia="pt-BR"/>
              </w:rPr>
            </w:pPr>
            <w:r w:rsidRPr="00631D81">
              <w:rPr>
                <w:rFonts w:ascii="Arial" w:eastAsia="Times New Roman" w:hAnsi="Arial" w:cs="Arial"/>
                <w:sz w:val="20"/>
                <w:szCs w:val="20"/>
                <w:lang w:eastAsia="pt-BR"/>
              </w:rPr>
              <w:t>89272</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SINAPI</w:t>
            </w:r>
          </w:p>
        </w:tc>
        <w:tc>
          <w:tcPr>
            <w:tcW w:w="3282" w:type="dxa"/>
            <w:tcBorders>
              <w:top w:val="single" w:sz="4" w:space="0" w:color="auto"/>
              <w:left w:val="nil"/>
              <w:bottom w:val="single" w:sz="4" w:space="0" w:color="auto"/>
              <w:right w:val="single" w:sz="4" w:space="0" w:color="auto"/>
            </w:tcBorders>
            <w:shd w:val="clear" w:color="auto" w:fill="auto"/>
            <w:hideMark/>
          </w:tcPr>
          <w:p w:rsidR="00631D81" w:rsidRPr="00631D81" w:rsidRDefault="00631D81" w:rsidP="00631D81">
            <w:pPr>
              <w:spacing w:after="0" w:line="240" w:lineRule="auto"/>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Serviço de caminhão </w:t>
            </w:r>
            <w:proofErr w:type="spellStart"/>
            <w:r w:rsidRPr="00631D81">
              <w:rPr>
                <w:rFonts w:ascii="Arial" w:eastAsia="Times New Roman" w:hAnsi="Arial" w:cs="Arial"/>
                <w:sz w:val="16"/>
                <w:szCs w:val="16"/>
                <w:lang w:eastAsia="pt-BR"/>
              </w:rPr>
              <w:t>Munk</w:t>
            </w:r>
            <w:proofErr w:type="spellEnd"/>
            <w:r w:rsidRPr="00631D81">
              <w:rPr>
                <w:rFonts w:ascii="Arial" w:eastAsia="Times New Roman" w:hAnsi="Arial" w:cs="Arial"/>
                <w:sz w:val="16"/>
                <w:szCs w:val="16"/>
                <w:lang w:eastAsia="pt-BR"/>
              </w:rPr>
              <w:t xml:space="preserve"> equipado com cesto aéreo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proofErr w:type="gramStart"/>
            <w:r w:rsidRPr="00631D81">
              <w:rPr>
                <w:rFonts w:ascii="Arial" w:eastAsia="Times New Roman" w:hAnsi="Arial" w:cs="Arial"/>
                <w:sz w:val="16"/>
                <w:szCs w:val="16"/>
                <w:lang w:eastAsia="pt-BR"/>
              </w:rPr>
              <w:t>h</w:t>
            </w:r>
            <w:proofErr w:type="gramEnd"/>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1,0</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right"/>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122,34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w:t>
            </w:r>
            <w:proofErr w:type="gramStart"/>
            <w:r w:rsidRPr="00631D81">
              <w:rPr>
                <w:rFonts w:ascii="Arial" w:eastAsia="Times New Roman" w:hAnsi="Arial" w:cs="Arial"/>
                <w:sz w:val="16"/>
                <w:szCs w:val="16"/>
                <w:lang w:eastAsia="pt-BR"/>
              </w:rPr>
              <w:t>$  122</w:t>
            </w:r>
            <w:proofErr w:type="gramEnd"/>
            <w:r w:rsidRPr="00631D81">
              <w:rPr>
                <w:rFonts w:ascii="Arial" w:eastAsia="Times New Roman" w:hAnsi="Arial" w:cs="Arial"/>
                <w:sz w:val="16"/>
                <w:szCs w:val="16"/>
                <w:lang w:eastAsia="pt-BR"/>
              </w:rPr>
              <w:t xml:space="preserve">,34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631D81">
        <w:trPr>
          <w:trHeight w:val="525"/>
        </w:trPr>
        <w:tc>
          <w:tcPr>
            <w:tcW w:w="480" w:type="dxa"/>
            <w:tcBorders>
              <w:top w:val="nil"/>
              <w:left w:val="single" w:sz="8" w:space="0" w:color="auto"/>
              <w:bottom w:val="single" w:sz="8" w:space="0" w:color="auto"/>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72</w:t>
            </w:r>
          </w:p>
        </w:tc>
        <w:tc>
          <w:tcPr>
            <w:tcW w:w="1396" w:type="dxa"/>
            <w:tcBorders>
              <w:top w:val="nil"/>
              <w:left w:val="single" w:sz="4" w:space="0" w:color="auto"/>
              <w:bottom w:val="single" w:sz="4" w:space="0" w:color="auto"/>
              <w:right w:val="single" w:sz="4" w:space="0" w:color="auto"/>
            </w:tcBorders>
            <w:shd w:val="clear" w:color="auto" w:fill="auto"/>
            <w:vAlign w:val="center"/>
            <w:hideMark/>
          </w:tcPr>
          <w:p w:rsidR="00631D81" w:rsidRPr="00631D81" w:rsidRDefault="00631D81" w:rsidP="00631D81">
            <w:pPr>
              <w:spacing w:after="0" w:line="240" w:lineRule="auto"/>
              <w:jc w:val="center"/>
              <w:rPr>
                <w:rFonts w:ascii="Arial" w:eastAsia="Times New Roman" w:hAnsi="Arial" w:cs="Arial"/>
                <w:sz w:val="20"/>
                <w:szCs w:val="20"/>
                <w:lang w:eastAsia="pt-BR"/>
              </w:rPr>
            </w:pPr>
            <w:r w:rsidRPr="00631D81">
              <w:rPr>
                <w:rFonts w:ascii="Arial" w:eastAsia="Times New Roman" w:hAnsi="Arial" w:cs="Arial"/>
                <w:sz w:val="20"/>
                <w:szCs w:val="20"/>
                <w:lang w:eastAsia="pt-BR"/>
              </w:rPr>
              <w:t>88264</w:t>
            </w:r>
          </w:p>
        </w:tc>
        <w:tc>
          <w:tcPr>
            <w:tcW w:w="796"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SINAPI</w:t>
            </w:r>
          </w:p>
        </w:tc>
        <w:tc>
          <w:tcPr>
            <w:tcW w:w="3282" w:type="dxa"/>
            <w:tcBorders>
              <w:top w:val="nil"/>
              <w:left w:val="nil"/>
              <w:bottom w:val="single" w:sz="4" w:space="0" w:color="auto"/>
              <w:right w:val="single" w:sz="4" w:space="0" w:color="auto"/>
            </w:tcBorders>
            <w:shd w:val="clear" w:color="auto" w:fill="auto"/>
            <w:hideMark/>
          </w:tcPr>
          <w:p w:rsidR="00631D81" w:rsidRPr="00631D81" w:rsidRDefault="00631D81" w:rsidP="00631D81">
            <w:pPr>
              <w:spacing w:after="0" w:line="240" w:lineRule="auto"/>
              <w:rPr>
                <w:rFonts w:ascii="Arial" w:eastAsia="Times New Roman" w:hAnsi="Arial" w:cs="Arial"/>
                <w:sz w:val="16"/>
                <w:szCs w:val="16"/>
                <w:lang w:eastAsia="pt-BR"/>
              </w:rPr>
            </w:pPr>
            <w:r w:rsidRPr="00631D81">
              <w:rPr>
                <w:rFonts w:ascii="Arial" w:eastAsia="Times New Roman" w:hAnsi="Arial" w:cs="Arial"/>
                <w:sz w:val="16"/>
                <w:szCs w:val="16"/>
                <w:lang w:eastAsia="pt-BR"/>
              </w:rPr>
              <w:t>Serviço de Eletricista</w:t>
            </w:r>
          </w:p>
        </w:tc>
        <w:tc>
          <w:tcPr>
            <w:tcW w:w="976"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proofErr w:type="gramStart"/>
            <w:r w:rsidRPr="00631D81">
              <w:rPr>
                <w:rFonts w:ascii="Arial" w:eastAsia="Times New Roman" w:hAnsi="Arial" w:cs="Arial"/>
                <w:sz w:val="16"/>
                <w:szCs w:val="16"/>
                <w:lang w:eastAsia="pt-BR"/>
              </w:rPr>
              <w:t>h</w:t>
            </w:r>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2,0</w:t>
            </w:r>
          </w:p>
        </w:tc>
        <w:tc>
          <w:tcPr>
            <w:tcW w:w="919" w:type="dxa"/>
            <w:tcBorders>
              <w:top w:val="nil"/>
              <w:left w:val="nil"/>
              <w:bottom w:val="single" w:sz="4" w:space="0" w:color="auto"/>
              <w:right w:val="single" w:sz="4" w:space="0" w:color="auto"/>
            </w:tcBorders>
            <w:shd w:val="clear" w:color="000000" w:fill="FFFFFF"/>
            <w:vAlign w:val="center"/>
            <w:hideMark/>
          </w:tcPr>
          <w:p w:rsidR="00631D81" w:rsidRPr="00631D81" w:rsidRDefault="00631D81" w:rsidP="00631D81">
            <w:pPr>
              <w:spacing w:after="0" w:line="240" w:lineRule="auto"/>
              <w:jc w:val="right"/>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26,41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52,82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4"/>
                <w:szCs w:val="24"/>
                <w:lang w:eastAsia="pt-BR"/>
              </w:rPr>
            </w:pPr>
          </w:p>
        </w:tc>
      </w:tr>
      <w:tr w:rsidR="00631D81" w:rsidRPr="00631D81" w:rsidTr="00631D81">
        <w:trPr>
          <w:trHeight w:val="330"/>
        </w:trPr>
        <w:tc>
          <w:tcPr>
            <w:tcW w:w="480" w:type="dxa"/>
            <w:tcBorders>
              <w:top w:val="nil"/>
              <w:left w:val="nil"/>
              <w:bottom w:val="nil"/>
              <w:right w:val="nil"/>
            </w:tcBorders>
            <w:shd w:val="clear" w:color="auto" w:fill="auto"/>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16"/>
                <w:szCs w:val="16"/>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Arial" w:eastAsia="Times New Roman" w:hAnsi="Arial" w:cs="Arial"/>
                <w:sz w:val="16"/>
                <w:szCs w:val="16"/>
                <w:lang w:eastAsia="pt-BR"/>
              </w:rPr>
            </w:pPr>
            <w:r w:rsidRPr="00631D81">
              <w:rPr>
                <w:rFonts w:ascii="Arial" w:eastAsia="Times New Roman" w:hAnsi="Arial" w:cs="Arial"/>
                <w:sz w:val="16"/>
                <w:szCs w:val="16"/>
                <w:lang w:eastAsia="pt-BR"/>
              </w:rPr>
              <w:t>TOTAL</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Calibri" w:eastAsia="Times New Roman" w:hAnsi="Calibri" w:cs="Calibri"/>
                <w:color w:val="000000"/>
                <w:sz w:val="16"/>
                <w:szCs w:val="16"/>
                <w:lang w:eastAsia="pt-BR"/>
              </w:rPr>
            </w:pPr>
            <w:r w:rsidRPr="00631D81">
              <w:rPr>
                <w:rFonts w:ascii="Calibri" w:eastAsia="Times New Roman" w:hAnsi="Calibri" w:cs="Calibri"/>
                <w:color w:val="000000"/>
                <w:sz w:val="16"/>
                <w:szCs w:val="16"/>
                <w:lang w:eastAsia="pt-BR"/>
              </w:rPr>
              <w:t xml:space="preserve"> R$         175,16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Calibri" w:eastAsia="Times New Roman" w:hAnsi="Calibri" w:cs="Calibri"/>
                <w:color w:val="00000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45"/>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9220" w:type="dxa"/>
            <w:gridSpan w:val="7"/>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Composição para unidade de porta de proteção para caixa de medição em aço</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p>
        </w:tc>
      </w:tr>
      <w:tr w:rsidR="00631D81" w:rsidRPr="00631D81" w:rsidTr="00631D81">
        <w:trPr>
          <w:trHeight w:val="34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1396" w:type="dxa"/>
            <w:tcBorders>
              <w:top w:val="nil"/>
              <w:left w:val="double" w:sz="6" w:space="0" w:color="000000"/>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20"/>
                <w:szCs w:val="20"/>
                <w:lang w:eastAsia="pt-BR"/>
              </w:rPr>
            </w:pPr>
            <w:r w:rsidRPr="00631D81">
              <w:rPr>
                <w:rFonts w:ascii="Open Sans" w:eastAsia="Times New Roman" w:hAnsi="Open Sans" w:cs="Calibri"/>
                <w:b/>
                <w:bCs/>
                <w:color w:val="000000"/>
                <w:sz w:val="20"/>
                <w:szCs w:val="20"/>
                <w:lang w:eastAsia="pt-BR"/>
              </w:rPr>
              <w:t>Código</w:t>
            </w:r>
          </w:p>
        </w:tc>
        <w:tc>
          <w:tcPr>
            <w:tcW w:w="796" w:type="dxa"/>
            <w:tcBorders>
              <w:top w:val="nil"/>
              <w:left w:val="nil"/>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20"/>
                <w:szCs w:val="20"/>
                <w:lang w:eastAsia="pt-BR"/>
              </w:rPr>
            </w:pPr>
            <w:proofErr w:type="spellStart"/>
            <w:r w:rsidRPr="00631D81">
              <w:rPr>
                <w:rFonts w:ascii="Open Sans" w:eastAsia="Times New Roman" w:hAnsi="Open Sans" w:cs="Calibri"/>
                <w:b/>
                <w:bCs/>
                <w:color w:val="000000"/>
                <w:sz w:val="20"/>
                <w:szCs w:val="20"/>
                <w:lang w:eastAsia="pt-BR"/>
              </w:rPr>
              <w:t>Ref</w:t>
            </w:r>
            <w:proofErr w:type="spellEnd"/>
          </w:p>
        </w:tc>
        <w:tc>
          <w:tcPr>
            <w:tcW w:w="3282" w:type="dxa"/>
            <w:tcBorders>
              <w:top w:val="nil"/>
              <w:left w:val="nil"/>
              <w:bottom w:val="double" w:sz="6" w:space="0" w:color="000000"/>
              <w:right w:val="double" w:sz="6" w:space="0" w:color="000000"/>
            </w:tcBorders>
            <w:shd w:val="clear" w:color="auto" w:fill="auto"/>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16"/>
                <w:szCs w:val="16"/>
                <w:lang w:eastAsia="pt-BR"/>
              </w:rPr>
            </w:pPr>
            <w:r w:rsidRPr="00631D81">
              <w:rPr>
                <w:rFonts w:ascii="Open Sans" w:eastAsia="Times New Roman" w:hAnsi="Open Sans" w:cs="Calibri"/>
                <w:b/>
                <w:bCs/>
                <w:color w:val="000000"/>
                <w:sz w:val="16"/>
                <w:szCs w:val="16"/>
                <w:lang w:eastAsia="pt-BR"/>
              </w:rPr>
              <w:t>Natureza dos Trabalhos</w:t>
            </w:r>
          </w:p>
        </w:tc>
        <w:tc>
          <w:tcPr>
            <w:tcW w:w="976" w:type="dxa"/>
            <w:tcBorders>
              <w:top w:val="nil"/>
              <w:left w:val="nil"/>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16"/>
                <w:szCs w:val="16"/>
                <w:lang w:eastAsia="pt-BR"/>
              </w:rPr>
            </w:pPr>
            <w:proofErr w:type="spellStart"/>
            <w:r w:rsidRPr="00631D81">
              <w:rPr>
                <w:rFonts w:ascii="Open Sans" w:eastAsia="Times New Roman" w:hAnsi="Open Sans" w:cs="Calibri"/>
                <w:b/>
                <w:bCs/>
                <w:color w:val="000000"/>
                <w:sz w:val="16"/>
                <w:szCs w:val="16"/>
                <w:lang w:eastAsia="pt-BR"/>
              </w:rPr>
              <w:t>Unid</w:t>
            </w:r>
            <w:proofErr w:type="spellEnd"/>
          </w:p>
        </w:tc>
        <w:tc>
          <w:tcPr>
            <w:tcW w:w="976" w:type="dxa"/>
            <w:tcBorders>
              <w:top w:val="nil"/>
              <w:left w:val="nil"/>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16"/>
                <w:szCs w:val="16"/>
                <w:lang w:eastAsia="pt-BR"/>
              </w:rPr>
            </w:pPr>
            <w:r w:rsidRPr="00631D81">
              <w:rPr>
                <w:rFonts w:ascii="Open Sans" w:eastAsia="Times New Roman" w:hAnsi="Open Sans" w:cs="Calibri"/>
                <w:b/>
                <w:bCs/>
                <w:color w:val="000000"/>
                <w:sz w:val="16"/>
                <w:szCs w:val="16"/>
                <w:lang w:eastAsia="pt-BR"/>
              </w:rPr>
              <w:t>Quant.</w:t>
            </w:r>
          </w:p>
        </w:tc>
        <w:tc>
          <w:tcPr>
            <w:tcW w:w="919" w:type="dxa"/>
            <w:tcBorders>
              <w:top w:val="nil"/>
              <w:left w:val="nil"/>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16"/>
                <w:szCs w:val="16"/>
                <w:lang w:eastAsia="pt-BR"/>
              </w:rPr>
            </w:pPr>
            <w:r w:rsidRPr="00631D81">
              <w:rPr>
                <w:rFonts w:ascii="Open Sans" w:eastAsia="Times New Roman" w:hAnsi="Open Sans" w:cs="Calibri"/>
                <w:b/>
                <w:bCs/>
                <w:color w:val="000000"/>
                <w:sz w:val="16"/>
                <w:szCs w:val="16"/>
                <w:lang w:eastAsia="pt-BR"/>
              </w:rPr>
              <w:t xml:space="preserve"> Preço Unitário </w:t>
            </w:r>
          </w:p>
        </w:tc>
        <w:tc>
          <w:tcPr>
            <w:tcW w:w="875" w:type="dxa"/>
            <w:tcBorders>
              <w:top w:val="nil"/>
              <w:left w:val="nil"/>
              <w:bottom w:val="double" w:sz="6" w:space="0" w:color="000000"/>
              <w:right w:val="double" w:sz="6" w:space="0" w:color="000000"/>
            </w:tcBorders>
            <w:shd w:val="clear" w:color="auto" w:fill="auto"/>
            <w:noWrap/>
            <w:vAlign w:val="center"/>
            <w:hideMark/>
          </w:tcPr>
          <w:p w:rsidR="00631D81" w:rsidRPr="00631D81" w:rsidRDefault="00631D81" w:rsidP="00631D81">
            <w:pPr>
              <w:spacing w:after="0" w:line="240" w:lineRule="auto"/>
              <w:jc w:val="center"/>
              <w:rPr>
                <w:rFonts w:ascii="Open Sans" w:eastAsia="Times New Roman" w:hAnsi="Open Sans" w:cs="Calibri"/>
                <w:b/>
                <w:bCs/>
                <w:color w:val="000000"/>
                <w:sz w:val="16"/>
                <w:szCs w:val="16"/>
                <w:lang w:eastAsia="pt-BR"/>
              </w:rPr>
            </w:pPr>
            <w:r w:rsidRPr="00631D81">
              <w:rPr>
                <w:rFonts w:ascii="Open Sans" w:eastAsia="Times New Roman" w:hAnsi="Open Sans" w:cs="Calibri"/>
                <w:b/>
                <w:bCs/>
                <w:color w:val="000000"/>
                <w:sz w:val="16"/>
                <w:szCs w:val="16"/>
                <w:lang w:eastAsia="pt-BR"/>
              </w:rPr>
              <w:t>Preço Total</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Open Sans" w:eastAsia="Times New Roman" w:hAnsi="Open Sans" w:cs="Calibri"/>
                <w:b/>
                <w:bCs/>
                <w:color w:val="000000"/>
                <w:sz w:val="20"/>
                <w:szCs w:val="20"/>
                <w:lang w:eastAsia="pt-BR"/>
              </w:rPr>
            </w:pPr>
          </w:p>
        </w:tc>
      </w:tr>
      <w:tr w:rsidR="00631D81" w:rsidRPr="00631D81" w:rsidTr="00631D81">
        <w:trPr>
          <w:trHeight w:val="79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b/>
                <w:bCs/>
                <w:sz w:val="24"/>
                <w:szCs w:val="24"/>
                <w:lang w:eastAsia="pt-BR"/>
              </w:rPr>
            </w:pPr>
            <w:r w:rsidRPr="00631D81">
              <w:rPr>
                <w:rFonts w:ascii="Times New Roman" w:eastAsia="Times New Roman" w:hAnsi="Times New Roman" w:cs="Times New Roman"/>
                <w:b/>
                <w:bCs/>
                <w:sz w:val="24"/>
                <w:szCs w:val="24"/>
                <w:lang w:eastAsia="pt-BR"/>
              </w:rPr>
              <w:t>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24.04.340</w:t>
            </w:r>
          </w:p>
        </w:tc>
        <w:tc>
          <w:tcPr>
            <w:tcW w:w="796" w:type="dxa"/>
            <w:tcBorders>
              <w:top w:val="single" w:sz="4" w:space="0" w:color="auto"/>
              <w:left w:val="nil"/>
              <w:bottom w:val="single" w:sz="4" w:space="0" w:color="auto"/>
              <w:right w:val="single" w:sz="4" w:space="0" w:color="auto"/>
            </w:tcBorders>
            <w:shd w:val="clear" w:color="auto" w:fill="auto"/>
            <w:hideMark/>
          </w:tcPr>
          <w:p w:rsidR="00631D81" w:rsidRPr="00631D81" w:rsidRDefault="00631D81" w:rsidP="00631D81">
            <w:pPr>
              <w:spacing w:after="0" w:line="240" w:lineRule="auto"/>
              <w:jc w:val="center"/>
              <w:rPr>
                <w:rFonts w:ascii="Arial" w:eastAsia="Times New Roman" w:hAnsi="Arial" w:cs="Arial"/>
                <w:color w:val="000000"/>
                <w:sz w:val="20"/>
                <w:szCs w:val="20"/>
                <w:lang w:eastAsia="pt-BR"/>
              </w:rPr>
            </w:pPr>
            <w:r w:rsidRPr="00631D81">
              <w:rPr>
                <w:rFonts w:ascii="Arial" w:eastAsia="Times New Roman" w:hAnsi="Arial" w:cs="Arial"/>
                <w:color w:val="000000"/>
                <w:sz w:val="20"/>
                <w:szCs w:val="20"/>
                <w:lang w:eastAsia="pt-BR"/>
              </w:rPr>
              <w:t>CDHU</w:t>
            </w:r>
          </w:p>
        </w:tc>
        <w:tc>
          <w:tcPr>
            <w:tcW w:w="3282" w:type="dxa"/>
            <w:tcBorders>
              <w:top w:val="single" w:sz="4" w:space="0" w:color="auto"/>
              <w:left w:val="nil"/>
              <w:bottom w:val="single" w:sz="4" w:space="0" w:color="auto"/>
              <w:right w:val="single" w:sz="4" w:space="0" w:color="auto"/>
            </w:tcBorders>
            <w:shd w:val="clear" w:color="auto" w:fill="auto"/>
            <w:hideMark/>
          </w:tcPr>
          <w:p w:rsidR="00631D81" w:rsidRPr="00631D81" w:rsidRDefault="00631D81" w:rsidP="00631D81">
            <w:pPr>
              <w:spacing w:after="0" w:line="240" w:lineRule="auto"/>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Porta de segurança de abrir em grade de aço SAE 1045 chapeada, diâmetro 1´, completa, com têmpera e </w:t>
            </w:r>
            <w:proofErr w:type="spellStart"/>
            <w:r w:rsidRPr="00631D81">
              <w:rPr>
                <w:rFonts w:ascii="Arial" w:eastAsia="Times New Roman" w:hAnsi="Arial" w:cs="Arial"/>
                <w:color w:val="000000"/>
                <w:sz w:val="16"/>
                <w:szCs w:val="16"/>
                <w:lang w:eastAsia="pt-BR"/>
              </w:rPr>
              <w:t>revenimento</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Calibri" w:eastAsia="Times New Roman" w:hAnsi="Calibri" w:cs="Calibri"/>
                <w:color w:val="000000"/>
                <w:sz w:val="16"/>
                <w:szCs w:val="16"/>
                <w:lang w:eastAsia="pt-BR"/>
              </w:rPr>
            </w:pPr>
            <w:proofErr w:type="gramStart"/>
            <w:r w:rsidRPr="00631D81">
              <w:rPr>
                <w:rFonts w:ascii="Calibri" w:eastAsia="Times New Roman" w:hAnsi="Calibri" w:cs="Calibri"/>
                <w:color w:val="000000"/>
                <w:sz w:val="16"/>
                <w:szCs w:val="16"/>
                <w:lang w:eastAsia="pt-BR"/>
              </w:rPr>
              <w:t>m</w:t>
            </w:r>
            <w:proofErr w:type="gramEnd"/>
            <w:r w:rsidRPr="00631D81">
              <w:rPr>
                <w:rFonts w:ascii="Calibri" w:eastAsia="Times New Roman" w:hAnsi="Calibri" w:cs="Calibri"/>
                <w:color w:val="000000"/>
                <w:sz w:val="16"/>
                <w:szCs w:val="16"/>
                <w:lang w:eastAsia="pt-BR"/>
              </w:rPr>
              <w:t>²</w:t>
            </w:r>
          </w:p>
        </w:tc>
        <w:tc>
          <w:tcPr>
            <w:tcW w:w="976"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Calibri" w:eastAsia="Times New Roman" w:hAnsi="Calibri" w:cs="Calibri"/>
                <w:color w:val="000000"/>
                <w:sz w:val="16"/>
                <w:szCs w:val="16"/>
                <w:lang w:eastAsia="pt-BR"/>
              </w:rPr>
            </w:pPr>
            <w:r w:rsidRPr="00631D81">
              <w:rPr>
                <w:rFonts w:ascii="Calibri" w:eastAsia="Times New Roman" w:hAnsi="Calibri" w:cs="Calibri"/>
                <w:color w:val="000000"/>
                <w:sz w:val="16"/>
                <w:szCs w:val="16"/>
                <w:lang w:eastAsia="pt-BR"/>
              </w:rPr>
              <w:t>0,2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631D81" w:rsidRPr="00631D81" w:rsidRDefault="00631D81" w:rsidP="00631D81">
            <w:pPr>
              <w:spacing w:after="0" w:line="240" w:lineRule="auto"/>
              <w:jc w:val="right"/>
              <w:rPr>
                <w:rFonts w:ascii="Arial" w:eastAsia="Times New Roman" w:hAnsi="Arial" w:cs="Arial"/>
                <w:color w:val="000000"/>
                <w:sz w:val="16"/>
                <w:szCs w:val="16"/>
                <w:lang w:eastAsia="pt-BR"/>
              </w:rPr>
            </w:pPr>
            <w:r w:rsidRPr="00631D81">
              <w:rPr>
                <w:rFonts w:ascii="Arial" w:eastAsia="Times New Roman" w:hAnsi="Arial" w:cs="Arial"/>
                <w:color w:val="000000"/>
                <w:sz w:val="16"/>
                <w:szCs w:val="16"/>
                <w:lang w:eastAsia="pt-BR"/>
              </w:rPr>
              <w:t xml:space="preserve"> R$       2.249,77 </w:t>
            </w:r>
          </w:p>
        </w:tc>
        <w:tc>
          <w:tcPr>
            <w:tcW w:w="875" w:type="dxa"/>
            <w:tcBorders>
              <w:top w:val="nil"/>
              <w:left w:val="nil"/>
              <w:bottom w:val="single" w:sz="4" w:space="0" w:color="auto"/>
              <w:right w:val="single" w:sz="4"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449,95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Arial" w:eastAsia="Times New Roman" w:hAnsi="Arial" w:cs="Arial"/>
                <w:sz w:val="20"/>
                <w:szCs w:val="20"/>
                <w:lang w:eastAsia="pt-BR"/>
              </w:rPr>
            </w:pPr>
          </w:p>
        </w:tc>
      </w:tr>
      <w:tr w:rsidR="00631D81" w:rsidRPr="00631D81" w:rsidTr="00631D81">
        <w:trPr>
          <w:trHeight w:val="33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r>
      <w:tr w:rsidR="00631D81" w:rsidRPr="00631D81" w:rsidTr="00631D81">
        <w:trPr>
          <w:trHeight w:val="330"/>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79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16"/>
                <w:szCs w:val="16"/>
                <w:lang w:eastAsia="pt-BR"/>
              </w:rPr>
            </w:pP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jc w:val="center"/>
              <w:rPr>
                <w:rFonts w:ascii="Arial" w:eastAsia="Times New Roman" w:hAnsi="Arial" w:cs="Arial"/>
                <w:b/>
                <w:bCs/>
                <w:color w:val="000000"/>
                <w:sz w:val="16"/>
                <w:szCs w:val="16"/>
                <w:lang w:eastAsia="pt-BR"/>
              </w:rPr>
            </w:pPr>
            <w:r w:rsidRPr="00631D81">
              <w:rPr>
                <w:rFonts w:ascii="Arial" w:eastAsia="Times New Roman" w:hAnsi="Arial" w:cs="Arial"/>
                <w:b/>
                <w:bCs/>
                <w:color w:val="000000"/>
                <w:sz w:val="16"/>
                <w:szCs w:val="16"/>
                <w:lang w:eastAsia="pt-BR"/>
              </w:rPr>
              <w:t>TOTAL</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631D81" w:rsidRPr="00631D81" w:rsidRDefault="00631D81" w:rsidP="00631D81">
            <w:pPr>
              <w:spacing w:after="0" w:line="240" w:lineRule="auto"/>
              <w:rPr>
                <w:rFonts w:ascii="Arial" w:eastAsia="Times New Roman" w:hAnsi="Arial" w:cs="Arial"/>
                <w:sz w:val="16"/>
                <w:szCs w:val="16"/>
                <w:lang w:eastAsia="pt-BR"/>
              </w:rPr>
            </w:pPr>
            <w:r w:rsidRPr="00631D81">
              <w:rPr>
                <w:rFonts w:ascii="Arial" w:eastAsia="Times New Roman" w:hAnsi="Arial" w:cs="Arial"/>
                <w:sz w:val="16"/>
                <w:szCs w:val="16"/>
                <w:lang w:eastAsia="pt-BR"/>
              </w:rPr>
              <w:t xml:space="preserve"> R$      449,95 </w:t>
            </w: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rPr>
                <w:rFonts w:ascii="Arial" w:eastAsia="Times New Roman" w:hAnsi="Arial" w:cs="Arial"/>
                <w:sz w:val="20"/>
                <w:szCs w:val="20"/>
                <w:lang w:eastAsia="pt-BR"/>
              </w:rPr>
            </w:pPr>
          </w:p>
        </w:tc>
      </w:tr>
      <w:tr w:rsidR="00631D81" w:rsidRPr="00631D81" w:rsidTr="00631D81">
        <w:trPr>
          <w:trHeight w:val="315"/>
        </w:trPr>
        <w:tc>
          <w:tcPr>
            <w:tcW w:w="480"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2192" w:type="dxa"/>
            <w:gridSpan w:val="2"/>
            <w:tcBorders>
              <w:top w:val="nil"/>
              <w:left w:val="nil"/>
              <w:bottom w:val="nil"/>
              <w:right w:val="nil"/>
            </w:tcBorders>
            <w:shd w:val="clear" w:color="auto" w:fill="auto"/>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3282" w:type="dxa"/>
            <w:tcBorders>
              <w:top w:val="nil"/>
              <w:left w:val="nil"/>
              <w:bottom w:val="nil"/>
              <w:right w:val="nil"/>
            </w:tcBorders>
            <w:shd w:val="clear" w:color="auto" w:fill="auto"/>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919"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875" w:type="dxa"/>
            <w:tcBorders>
              <w:top w:val="nil"/>
              <w:left w:val="nil"/>
              <w:bottom w:val="nil"/>
              <w:right w:val="nil"/>
            </w:tcBorders>
            <w:shd w:val="clear" w:color="auto" w:fill="auto"/>
            <w:noWrap/>
            <w:vAlign w:val="center"/>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c>
          <w:tcPr>
            <w:tcW w:w="223" w:type="dxa"/>
            <w:tcBorders>
              <w:top w:val="nil"/>
              <w:left w:val="nil"/>
              <w:bottom w:val="nil"/>
              <w:right w:val="nil"/>
            </w:tcBorders>
            <w:shd w:val="clear" w:color="auto" w:fill="auto"/>
            <w:noWrap/>
            <w:vAlign w:val="bottom"/>
            <w:hideMark/>
          </w:tcPr>
          <w:p w:rsidR="00631D81" w:rsidRPr="00631D81" w:rsidRDefault="00631D81" w:rsidP="00631D81">
            <w:pPr>
              <w:spacing w:after="0" w:line="240" w:lineRule="auto"/>
              <w:jc w:val="center"/>
              <w:rPr>
                <w:rFonts w:ascii="Times New Roman" w:eastAsia="Times New Roman" w:hAnsi="Times New Roman" w:cs="Times New Roman"/>
                <w:sz w:val="20"/>
                <w:szCs w:val="20"/>
                <w:lang w:eastAsia="pt-BR"/>
              </w:rPr>
            </w:pPr>
          </w:p>
        </w:tc>
      </w:tr>
    </w:tbl>
    <w:p w:rsidR="00631D81" w:rsidRPr="00215E45" w:rsidRDefault="00631D81" w:rsidP="002118E4">
      <w:pPr>
        <w:jc w:val="both"/>
        <w:rPr>
          <w:rFonts w:cstheme="minorHAnsi"/>
        </w:rPr>
      </w:pPr>
    </w:p>
    <w:sectPr w:rsidR="00631D81" w:rsidRPr="00215E4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30" w:rsidRDefault="00707930" w:rsidP="00707930">
      <w:pPr>
        <w:spacing w:after="0" w:line="240" w:lineRule="auto"/>
      </w:pPr>
      <w:r>
        <w:separator/>
      </w:r>
    </w:p>
  </w:endnote>
  <w:endnote w:type="continuationSeparator" w:id="0">
    <w:p w:rsidR="00707930" w:rsidRDefault="00707930" w:rsidP="0070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Black">
    <w:altName w:val="Bookman Old Style"/>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Univers Cd (W1)">
    <w:altName w:val="Times New Roman"/>
    <w:panose1 w:val="00000000000000000000"/>
    <w:charset w:val="00"/>
    <w:family w:val="roman"/>
    <w:notTrueType/>
    <w:pitch w:val="default"/>
  </w:font>
  <w:font w:name="Univers (W1)">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30" w:rsidRDefault="00707930" w:rsidP="00707930">
      <w:pPr>
        <w:spacing w:after="0" w:line="240" w:lineRule="auto"/>
      </w:pPr>
      <w:r>
        <w:separator/>
      </w:r>
    </w:p>
  </w:footnote>
  <w:footnote w:type="continuationSeparator" w:id="0">
    <w:p w:rsidR="00707930" w:rsidRDefault="00707930" w:rsidP="0070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30" w:rsidRDefault="00707930" w:rsidP="00707930">
    <w:pPr>
      <w:tabs>
        <w:tab w:val="left" w:pos="0"/>
      </w:tabs>
      <w:jc w:val="center"/>
      <w:rPr>
        <w:color w:val="FFFFFF"/>
      </w:rPr>
    </w:pPr>
    <w:r>
      <w:rPr>
        <w:noProof/>
        <w:lang w:eastAsia="pt-BR"/>
      </w:rPr>
      <w:drawing>
        <wp:anchor distT="0" distB="0" distL="114300" distR="114300" simplePos="0" relativeHeight="251659264" behindDoc="1" locked="0" layoutInCell="1" allowOverlap="1">
          <wp:simplePos x="0" y="0"/>
          <wp:positionH relativeFrom="column">
            <wp:posOffset>5059680</wp:posOffset>
          </wp:positionH>
          <wp:positionV relativeFrom="paragraph">
            <wp:posOffset>-276225</wp:posOffset>
          </wp:positionV>
          <wp:extent cx="1123950" cy="1162050"/>
          <wp:effectExtent l="0" t="0" r="0" b="0"/>
          <wp:wrapNone/>
          <wp:docPr id="3" name="Imagem 3"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RIMBO"/>
                  <pic:cNvPicPr>
                    <a:picLocks noChangeAspect="1" noChangeArrowheads="1"/>
                  </pic:cNvPicPr>
                </pic:nvPicPr>
                <pic:blipFill>
                  <a:blip r:embed="rId1">
                    <a:lum bright="-20000" contrast="60000"/>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eastAsia="pt-BR"/>
      </w:rPr>
      <w:drawing>
        <wp:inline distT="0" distB="0" distL="0" distR="0">
          <wp:extent cx="60960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707930" w:rsidRPr="00BD20F8" w:rsidRDefault="00707930" w:rsidP="00707930">
    <w:pPr>
      <w:pStyle w:val="Legenda"/>
    </w:pPr>
    <w:r w:rsidRPr="00BD20F8">
      <w:t>PREFEITURA DO MUNICÍPIO DE ARARAQUARA</w:t>
    </w:r>
  </w:p>
  <w:p w:rsidR="00707930" w:rsidRPr="000815BF" w:rsidRDefault="00707930" w:rsidP="00707930">
    <w:pPr>
      <w:tabs>
        <w:tab w:val="center" w:pos="4419"/>
        <w:tab w:val="right" w:pos="8838"/>
      </w:tabs>
      <w:jc w:val="center"/>
      <w:rPr>
        <w:rFonts w:ascii="Verdana" w:hAnsi="Verdana" w:cs="Verdana"/>
        <w:b/>
        <w:color w:val="000080"/>
        <w:sz w:val="18"/>
        <w:szCs w:val="18"/>
      </w:rPr>
    </w:pPr>
    <w:r w:rsidRPr="000815BF">
      <w:rPr>
        <w:rFonts w:ascii="Verdana" w:hAnsi="Verdana" w:cs="Verdana"/>
        <w:b/>
        <w:color w:val="000080"/>
        <w:sz w:val="18"/>
        <w:szCs w:val="18"/>
      </w:rPr>
      <w:t xml:space="preserve">GERÊNCIA DE LICITAÇÃO </w:t>
    </w:r>
  </w:p>
  <w:p w:rsidR="00707930" w:rsidRPr="00707930" w:rsidRDefault="00707930" w:rsidP="00707930">
    <w:pPr>
      <w:pStyle w:val="Ttulo4"/>
      <w:tabs>
        <w:tab w:val="clear" w:pos="-142"/>
      </w:tabs>
      <w:rPr>
        <w:b w:val="0"/>
        <w:sz w:val="18"/>
        <w:szCs w:val="18"/>
      </w:rPr>
    </w:pPr>
    <w:r w:rsidRPr="00707930">
      <w:rPr>
        <w:b w:val="0"/>
        <w:sz w:val="18"/>
        <w:szCs w:val="18"/>
      </w:rPr>
      <w:t xml:space="preserve">Paço Municipal – Rua São Bento, 840 – 3º Andar - Centro – Cep.14.801.901                        </w:t>
    </w:r>
  </w:p>
  <w:p w:rsidR="00707930" w:rsidRPr="00707930" w:rsidRDefault="00707930" w:rsidP="00707930">
    <w:pPr>
      <w:pStyle w:val="Ttulo4"/>
      <w:tabs>
        <w:tab w:val="clear" w:pos="-142"/>
      </w:tabs>
      <w:rPr>
        <w:sz w:val="18"/>
        <w:szCs w:val="18"/>
      </w:rPr>
    </w:pPr>
    <w:r w:rsidRPr="00707930">
      <w:rPr>
        <w:b w:val="0"/>
        <w:sz w:val="18"/>
        <w:szCs w:val="18"/>
      </w:rPr>
      <w:t xml:space="preserve">Fone: (16) 3301-5116     Site: </w:t>
    </w:r>
    <w:hyperlink r:id="rId3" w:history="1">
      <w:r w:rsidRPr="00707930">
        <w:rPr>
          <w:b w:val="0"/>
          <w:color w:val="0000FF"/>
          <w:sz w:val="18"/>
          <w:szCs w:val="18"/>
          <w:u w:val="single"/>
        </w:rPr>
        <w:t>www.araraquara.sp.gov.br</w:t>
      </w:r>
    </w:hyperlink>
    <w:r w:rsidRPr="00707930">
      <w:rPr>
        <w:b w:val="0"/>
        <w:sz w:val="18"/>
        <w:szCs w:val="18"/>
      </w:rPr>
      <w:t xml:space="preserve">     E-mail: edital@araraquara.sp.gov.br</w:t>
    </w:r>
  </w:p>
  <w:p w:rsidR="00707930" w:rsidRDefault="007079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4AB5"/>
    <w:multiLevelType w:val="hybridMultilevel"/>
    <w:tmpl w:val="522CC4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47381F"/>
    <w:multiLevelType w:val="hybridMultilevel"/>
    <w:tmpl w:val="F2DA15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7E1C62"/>
    <w:multiLevelType w:val="hybridMultilevel"/>
    <w:tmpl w:val="6EA87C3E"/>
    <w:lvl w:ilvl="0" w:tplc="8716CB0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A"/>
    <w:rsid w:val="00095F91"/>
    <w:rsid w:val="001B4574"/>
    <w:rsid w:val="001D5C19"/>
    <w:rsid w:val="002118E4"/>
    <w:rsid w:val="00215E45"/>
    <w:rsid w:val="002C1DEA"/>
    <w:rsid w:val="002F0863"/>
    <w:rsid w:val="00354651"/>
    <w:rsid w:val="003D0082"/>
    <w:rsid w:val="003D6AD1"/>
    <w:rsid w:val="004555DD"/>
    <w:rsid w:val="00461035"/>
    <w:rsid w:val="00483EB7"/>
    <w:rsid w:val="00497610"/>
    <w:rsid w:val="00506E59"/>
    <w:rsid w:val="00610FF7"/>
    <w:rsid w:val="00631D81"/>
    <w:rsid w:val="006916F8"/>
    <w:rsid w:val="00707930"/>
    <w:rsid w:val="00947DB8"/>
    <w:rsid w:val="009804ED"/>
    <w:rsid w:val="009C73C3"/>
    <w:rsid w:val="009C7833"/>
    <w:rsid w:val="00A96E06"/>
    <w:rsid w:val="00CE108E"/>
    <w:rsid w:val="00D22A5D"/>
    <w:rsid w:val="00DB1AFC"/>
    <w:rsid w:val="00DC3B7D"/>
    <w:rsid w:val="00E760D3"/>
    <w:rsid w:val="00EC7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E8F6FE-C6B7-41CB-9563-6BA90089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EA"/>
  </w:style>
  <w:style w:type="paragraph" w:styleId="Ttulo4">
    <w:name w:val="heading 4"/>
    <w:basedOn w:val="Normal"/>
    <w:next w:val="Normal"/>
    <w:link w:val="Ttulo4Char"/>
    <w:qFormat/>
    <w:rsid w:val="00707930"/>
    <w:pPr>
      <w:keepNext/>
      <w:widowControl w:val="0"/>
      <w:tabs>
        <w:tab w:val="left" w:pos="-142"/>
      </w:tabs>
      <w:spacing w:after="0" w:line="240" w:lineRule="auto"/>
      <w:jc w:val="center"/>
      <w:outlineLvl w:val="3"/>
    </w:pPr>
    <w:rPr>
      <w:rFonts w:ascii="Times New Roman" w:eastAsia="Times New Roman" w:hAnsi="Times New Roman" w:cs="Times New Roman"/>
      <w:b/>
      <w:color w:val="00008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5F91"/>
    <w:pPr>
      <w:ind w:left="720"/>
      <w:contextualSpacing/>
    </w:pPr>
  </w:style>
  <w:style w:type="paragraph" w:customStyle="1" w:styleId="Default">
    <w:name w:val="Default"/>
    <w:rsid w:val="00095F9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079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930"/>
  </w:style>
  <w:style w:type="paragraph" w:styleId="Rodap">
    <w:name w:val="footer"/>
    <w:basedOn w:val="Normal"/>
    <w:link w:val="RodapChar"/>
    <w:uiPriority w:val="99"/>
    <w:unhideWhenUsed/>
    <w:rsid w:val="00707930"/>
    <w:pPr>
      <w:tabs>
        <w:tab w:val="center" w:pos="4252"/>
        <w:tab w:val="right" w:pos="8504"/>
      </w:tabs>
      <w:spacing w:after="0" w:line="240" w:lineRule="auto"/>
    </w:pPr>
  </w:style>
  <w:style w:type="character" w:customStyle="1" w:styleId="RodapChar">
    <w:name w:val="Rodapé Char"/>
    <w:basedOn w:val="Fontepargpadro"/>
    <w:link w:val="Rodap"/>
    <w:uiPriority w:val="99"/>
    <w:rsid w:val="00707930"/>
  </w:style>
  <w:style w:type="character" w:customStyle="1" w:styleId="Ttulo4Char">
    <w:name w:val="Título 4 Char"/>
    <w:basedOn w:val="Fontepargpadro"/>
    <w:link w:val="Ttulo4"/>
    <w:rsid w:val="00707930"/>
    <w:rPr>
      <w:rFonts w:ascii="Times New Roman" w:eastAsia="Times New Roman" w:hAnsi="Times New Roman" w:cs="Times New Roman"/>
      <w:b/>
      <w:color w:val="000080"/>
      <w:sz w:val="24"/>
      <w:szCs w:val="20"/>
      <w:lang w:eastAsia="pt-BR"/>
    </w:rPr>
  </w:style>
  <w:style w:type="paragraph" w:styleId="Legenda">
    <w:name w:val="caption"/>
    <w:basedOn w:val="Normal"/>
    <w:next w:val="Normal"/>
    <w:qFormat/>
    <w:rsid w:val="00707930"/>
    <w:pPr>
      <w:tabs>
        <w:tab w:val="left" w:pos="-142"/>
      </w:tabs>
      <w:spacing w:after="0" w:line="240" w:lineRule="auto"/>
      <w:jc w:val="center"/>
    </w:pPr>
    <w:rPr>
      <w:rFonts w:ascii="Bodoni Black" w:eastAsia="Times New Roman" w:hAnsi="Bodoni Black" w:cs="Times New Roman"/>
      <w:b/>
      <w:color w:val="000080"/>
      <w:sz w:val="28"/>
      <w:szCs w:val="20"/>
      <w:lang w:eastAsia="pt-BR"/>
    </w:rPr>
  </w:style>
  <w:style w:type="paragraph" w:styleId="NormalWeb">
    <w:name w:val="Normal (Web)"/>
    <w:basedOn w:val="Normal"/>
    <w:uiPriority w:val="99"/>
    <w:semiHidden/>
    <w:unhideWhenUsed/>
    <w:rsid w:val="00631D81"/>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araraquara.sp.gov.br"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14</Pages>
  <Words>3800</Words>
  <Characters>20525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33</cp:revision>
  <dcterms:created xsi:type="dcterms:W3CDTF">2021-03-15T17:50:00Z</dcterms:created>
  <dcterms:modified xsi:type="dcterms:W3CDTF">2021-03-16T17:23:00Z</dcterms:modified>
</cp:coreProperties>
</file>