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35" w:rsidRPr="002A7A54" w:rsidRDefault="00303F35" w:rsidP="00B7134E">
      <w:pPr>
        <w:pStyle w:val="SemEspaamento"/>
        <w:ind w:firstLine="1134"/>
        <w:jc w:val="both"/>
        <w:rPr>
          <w:rFonts w:ascii="Verdana" w:hAnsi="Verdana"/>
          <w:sz w:val="16"/>
          <w:szCs w:val="16"/>
        </w:rPr>
      </w:pPr>
    </w:p>
    <w:p w:rsidR="002A7A54" w:rsidRPr="002A7A54" w:rsidRDefault="002A7A54" w:rsidP="002A7A54">
      <w:pPr>
        <w:jc w:val="center"/>
        <w:rPr>
          <w:rFonts w:ascii="Verdana" w:hAnsi="Verdana"/>
          <w:b/>
          <w:sz w:val="16"/>
          <w:szCs w:val="16"/>
        </w:rPr>
      </w:pPr>
      <w:r w:rsidRPr="002A7A54">
        <w:rPr>
          <w:rFonts w:ascii="Verdana" w:hAnsi="Verdana"/>
          <w:b/>
          <w:sz w:val="16"/>
          <w:szCs w:val="16"/>
        </w:rPr>
        <w:t>“EDITAL DE CONCORRÊNCIA N° 002/2020”.</w:t>
      </w:r>
    </w:p>
    <w:p w:rsidR="002A7A54" w:rsidRPr="002A7A54" w:rsidRDefault="002A7A54" w:rsidP="002A7A54">
      <w:pPr>
        <w:jc w:val="center"/>
        <w:rPr>
          <w:rFonts w:ascii="Verdana" w:hAnsi="Verdana"/>
          <w:b/>
          <w:sz w:val="16"/>
          <w:szCs w:val="16"/>
        </w:rPr>
      </w:pPr>
      <w:r w:rsidRPr="002A7A54">
        <w:rPr>
          <w:rFonts w:ascii="Verdana" w:hAnsi="Verdana"/>
          <w:b/>
          <w:sz w:val="16"/>
          <w:szCs w:val="16"/>
        </w:rPr>
        <w:t>“PROCESSO LICITATÓRIO Nº 1228/2020”.</w:t>
      </w:r>
    </w:p>
    <w:p w:rsidR="002A7A54" w:rsidRPr="002A7A54" w:rsidRDefault="002A7A54" w:rsidP="002A7A54">
      <w:pPr>
        <w:jc w:val="center"/>
        <w:rPr>
          <w:rFonts w:ascii="Verdana" w:hAnsi="Verdana"/>
          <w:b/>
          <w:sz w:val="16"/>
          <w:szCs w:val="16"/>
        </w:rPr>
      </w:pPr>
      <w:r w:rsidRPr="002A7A54">
        <w:rPr>
          <w:rFonts w:ascii="Verdana" w:hAnsi="Verdana"/>
          <w:b/>
          <w:sz w:val="16"/>
          <w:szCs w:val="16"/>
        </w:rPr>
        <w:t>“DE:</w:t>
      </w:r>
      <w:r w:rsidRPr="002A7A54">
        <w:rPr>
          <w:rFonts w:ascii="Verdana" w:hAnsi="Verdana"/>
          <w:b/>
          <w:noProof/>
          <w:sz w:val="16"/>
          <w:szCs w:val="16"/>
        </w:rPr>
        <w:t xml:space="preserve"> 11 de MAIO de 2020</w:t>
      </w:r>
      <w:r w:rsidRPr="002A7A54">
        <w:rPr>
          <w:rFonts w:ascii="Verdana" w:hAnsi="Verdana"/>
          <w:b/>
          <w:sz w:val="16"/>
          <w:szCs w:val="16"/>
        </w:rPr>
        <w:t>”</w:t>
      </w:r>
    </w:p>
    <w:p w:rsidR="002A7A54" w:rsidRPr="002A7A54" w:rsidRDefault="002A7A54" w:rsidP="002A7A54">
      <w:pPr>
        <w:spacing w:after="120" w:line="276" w:lineRule="auto"/>
        <w:jc w:val="right"/>
        <w:rPr>
          <w:rFonts w:ascii="Calibri" w:hAnsi="Calibri" w:cs="Calibri"/>
          <w:sz w:val="16"/>
          <w:szCs w:val="16"/>
        </w:rPr>
      </w:pPr>
    </w:p>
    <w:p w:rsidR="002A7A54" w:rsidRPr="002A7A54" w:rsidRDefault="002A7A54" w:rsidP="002A7A54">
      <w:pPr>
        <w:spacing w:after="120" w:line="276" w:lineRule="auto"/>
        <w:jc w:val="right"/>
        <w:rPr>
          <w:rFonts w:ascii="Verdana" w:hAnsi="Verdana" w:cs="Calibri"/>
          <w:sz w:val="16"/>
          <w:szCs w:val="16"/>
        </w:rPr>
      </w:pPr>
    </w:p>
    <w:p w:rsidR="002A7A54" w:rsidRPr="002A7A54" w:rsidRDefault="002A7A54" w:rsidP="002A7A54">
      <w:pPr>
        <w:spacing w:after="120" w:line="276" w:lineRule="auto"/>
        <w:jc w:val="right"/>
        <w:rPr>
          <w:rFonts w:ascii="Verdana" w:hAnsi="Verdana" w:cs="Calibri"/>
          <w:sz w:val="16"/>
          <w:szCs w:val="16"/>
        </w:rPr>
      </w:pPr>
      <w:r w:rsidRPr="002A7A54">
        <w:rPr>
          <w:rFonts w:ascii="Verdana" w:hAnsi="Verdana" w:cs="Calibri"/>
          <w:sz w:val="16"/>
          <w:szCs w:val="16"/>
        </w:rPr>
        <w:t>Araraquara, 03 de junho de 2020.</w:t>
      </w:r>
    </w:p>
    <w:p w:rsidR="002A7A54" w:rsidRPr="002A7A54" w:rsidRDefault="002A7A54" w:rsidP="002A7A54">
      <w:pPr>
        <w:spacing w:after="120" w:line="276" w:lineRule="auto"/>
        <w:ind w:firstLine="2127"/>
        <w:jc w:val="both"/>
        <w:rPr>
          <w:rFonts w:ascii="Verdana" w:hAnsi="Verdana" w:cs="Calibri"/>
          <w:sz w:val="16"/>
          <w:szCs w:val="16"/>
        </w:rPr>
      </w:pPr>
    </w:p>
    <w:p w:rsidR="002A7A54" w:rsidRPr="002A7A54" w:rsidRDefault="002A7A54" w:rsidP="002A7A54">
      <w:pPr>
        <w:spacing w:after="120" w:line="276" w:lineRule="auto"/>
        <w:ind w:firstLine="2127"/>
        <w:jc w:val="both"/>
        <w:rPr>
          <w:rFonts w:ascii="Verdana" w:hAnsi="Verdana" w:cs="Calibri"/>
          <w:sz w:val="16"/>
          <w:szCs w:val="16"/>
        </w:rPr>
      </w:pPr>
      <w:r w:rsidRPr="002A7A54">
        <w:rPr>
          <w:rFonts w:ascii="Verdana" w:hAnsi="Verdana" w:cs="Calibri"/>
          <w:sz w:val="16"/>
          <w:szCs w:val="16"/>
        </w:rPr>
        <w:t xml:space="preserve">Vimos, através deste, em relação à Concorrência Pública nº 002/2020, cujo objeto é </w:t>
      </w:r>
      <w:r w:rsidRPr="002A7A54">
        <w:rPr>
          <w:rFonts w:ascii="Verdana" w:hAnsi="Verdana" w:cs="Arial"/>
          <w:b/>
          <w:sz w:val="16"/>
          <w:szCs w:val="16"/>
        </w:rPr>
        <w:t>CONTRATAÇÃO DE EMPRESA ESPECIALIZADA PARA EXECUÇÃO DE OBRA DE SUBSTITUIÇÃO E EFICIENTIZAÇÃO DE 3.333 LUMINÁRIAS PARA TECNOLOGIA A LED, EM VÁRIOS LOCAIS, NA REGIÃO URBANA DO MUNICÍPIO DE ARARAQUARA, CONFORME ANEXOS I e VII</w:t>
      </w:r>
      <w:r w:rsidRPr="002A7A54">
        <w:rPr>
          <w:rFonts w:ascii="Verdana" w:hAnsi="Verdana"/>
          <w:b/>
          <w:sz w:val="16"/>
          <w:szCs w:val="16"/>
        </w:rPr>
        <w:t>,</w:t>
      </w:r>
      <w:r w:rsidRPr="002A7A54">
        <w:rPr>
          <w:rFonts w:ascii="Verdana" w:hAnsi="Verdana" w:cs="Calibri"/>
          <w:sz w:val="16"/>
          <w:szCs w:val="16"/>
        </w:rPr>
        <w:t xml:space="preserve"> tendo em vista solicitação da empresa UNICOBA ENERGIA S/A, expor e esclarecer o que segue:</w:t>
      </w:r>
    </w:p>
    <w:p w:rsidR="00303F35" w:rsidRPr="002A7A54" w:rsidRDefault="00303F35" w:rsidP="00B7134E">
      <w:pPr>
        <w:pStyle w:val="SemEspaamento"/>
        <w:ind w:firstLine="1134"/>
        <w:jc w:val="both"/>
        <w:rPr>
          <w:rFonts w:ascii="Verdana" w:hAnsi="Verdana"/>
          <w:sz w:val="16"/>
          <w:szCs w:val="16"/>
        </w:rPr>
      </w:pPr>
    </w:p>
    <w:p w:rsidR="00973572" w:rsidRPr="002A7A54" w:rsidRDefault="00973572" w:rsidP="00B7134E">
      <w:pPr>
        <w:pStyle w:val="SemEspaamento"/>
        <w:ind w:firstLine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>A</w:t>
      </w:r>
      <w:r w:rsidRPr="002A7A54">
        <w:rPr>
          <w:rFonts w:ascii="Verdana" w:hAnsi="Verdana"/>
          <w:b/>
          <w:sz w:val="16"/>
          <w:szCs w:val="16"/>
        </w:rPr>
        <w:t xml:space="preserve"> </w:t>
      </w:r>
      <w:r w:rsidRPr="002A7A54">
        <w:rPr>
          <w:rFonts w:ascii="Verdana" w:hAnsi="Verdana"/>
          <w:sz w:val="16"/>
          <w:szCs w:val="16"/>
        </w:rPr>
        <w:t>empresa UNICOBA</w:t>
      </w:r>
      <w:r w:rsidR="005A468A" w:rsidRPr="002A7A54">
        <w:rPr>
          <w:rFonts w:ascii="Verdana" w:hAnsi="Verdana"/>
          <w:sz w:val="16"/>
          <w:szCs w:val="16"/>
        </w:rPr>
        <w:t xml:space="preserve"> ENERGIA S/A</w:t>
      </w:r>
      <w:r w:rsidRPr="002A7A54">
        <w:rPr>
          <w:rFonts w:ascii="Verdana" w:hAnsi="Verdana"/>
          <w:sz w:val="16"/>
          <w:szCs w:val="16"/>
        </w:rPr>
        <w:t xml:space="preserve">, combate, em seu pedido de esclarecimento, a exigência do índice de endividamento na porcentagem de menor ou igual a 0,50%, alegando, em síntese que tal exigência caracteriza um cerceamento ao princípio da competitividade, pois, segundo a mesma, </w:t>
      </w:r>
      <w:r w:rsidR="00B7134E" w:rsidRPr="002A7A54">
        <w:rPr>
          <w:rFonts w:ascii="Verdana" w:hAnsi="Verdana"/>
          <w:sz w:val="16"/>
          <w:szCs w:val="16"/>
        </w:rPr>
        <w:t>a saúde financeira de uma empresa vai muito além da medição por índices contábeis. Pleiteia, para tanto, que</w:t>
      </w:r>
      <w:r w:rsidR="00026374" w:rsidRPr="002A7A54">
        <w:rPr>
          <w:rFonts w:ascii="Verdana" w:hAnsi="Verdana"/>
          <w:sz w:val="16"/>
          <w:szCs w:val="16"/>
        </w:rPr>
        <w:t xml:space="preserve"> sejam aceitos índice de endividamento nos patamares entre 0,30 e 1,0, ou ainda, que a apresentação de um capital social de no mínimo 10% do valor estimado comprove a saúde financeira da licitante.</w:t>
      </w:r>
    </w:p>
    <w:p w:rsidR="00973572" w:rsidRPr="002A7A54" w:rsidRDefault="00973572" w:rsidP="00C40126">
      <w:pPr>
        <w:spacing w:line="360" w:lineRule="auto"/>
        <w:jc w:val="both"/>
        <w:rPr>
          <w:rFonts w:ascii="Verdana" w:hAnsi="Verdana"/>
          <w:b/>
          <w:smallCaps/>
          <w:color w:val="000000"/>
          <w:sz w:val="16"/>
          <w:szCs w:val="16"/>
        </w:rPr>
      </w:pPr>
    </w:p>
    <w:p w:rsidR="00026374" w:rsidRPr="002A7A54" w:rsidRDefault="005A468A" w:rsidP="00026374">
      <w:pPr>
        <w:pStyle w:val="SemEspaamento"/>
        <w:ind w:firstLine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 xml:space="preserve">De fato, em simples explanação, constata-se que </w:t>
      </w:r>
      <w:r w:rsidR="00026374" w:rsidRPr="002A7A54">
        <w:rPr>
          <w:rFonts w:ascii="Verdana" w:hAnsi="Verdana"/>
          <w:sz w:val="16"/>
          <w:szCs w:val="16"/>
        </w:rPr>
        <w:t xml:space="preserve">a pretensão da empresa não merece acolhida. A Administração tem por dever, quando vem a campo para </w:t>
      </w:r>
      <w:r w:rsidRPr="002A7A54">
        <w:rPr>
          <w:rFonts w:ascii="Verdana" w:hAnsi="Verdana"/>
          <w:sz w:val="16"/>
          <w:szCs w:val="16"/>
        </w:rPr>
        <w:t>contratar, através de licitação</w:t>
      </w:r>
      <w:r w:rsidR="00026374" w:rsidRPr="002A7A54">
        <w:rPr>
          <w:rFonts w:ascii="Verdana" w:hAnsi="Verdana"/>
          <w:sz w:val="16"/>
          <w:szCs w:val="16"/>
        </w:rPr>
        <w:t>, zelar pelos princípios que norteiam a</w:t>
      </w:r>
      <w:r w:rsidRPr="002A7A54">
        <w:rPr>
          <w:rFonts w:ascii="Verdana" w:hAnsi="Verdana"/>
          <w:sz w:val="16"/>
          <w:szCs w:val="16"/>
        </w:rPr>
        <w:t xml:space="preserve"> matéria. Neste sentido, ainda é balizada pela Lei 8.666/93. O caso em tela trata-se de contratação de grande importância, donde se conclui que todas as precauções permitidas em lei devem ser adotadas pela Administração para que não frustre suas pretensões em contratações problemáticas.</w:t>
      </w:r>
    </w:p>
    <w:p w:rsidR="005A468A" w:rsidRPr="002A7A54" w:rsidRDefault="005A468A" w:rsidP="00026374">
      <w:pPr>
        <w:pStyle w:val="SemEspaamento"/>
        <w:ind w:firstLine="1134"/>
        <w:jc w:val="both"/>
        <w:rPr>
          <w:rFonts w:ascii="Verdana" w:hAnsi="Verdana"/>
          <w:sz w:val="16"/>
          <w:szCs w:val="16"/>
        </w:rPr>
      </w:pPr>
    </w:p>
    <w:p w:rsidR="005A468A" w:rsidRPr="002A7A54" w:rsidRDefault="005A468A" w:rsidP="00026374">
      <w:pPr>
        <w:pStyle w:val="SemEspaamento"/>
        <w:ind w:firstLine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>Isso não quer dizer que o edital esteja restritivo, haja vista que tais índices já são comumente utilizados pela Administração, em suas contratações deste tipo e sequer foram questionados. A Administração estabelece as regras, dentro dos devidos parâmetros legais, e os interessados preparam-se e se adequam aos termos editalícios e nunca o contrário.</w:t>
      </w:r>
    </w:p>
    <w:p w:rsidR="00973572" w:rsidRPr="002A7A54" w:rsidRDefault="00973572" w:rsidP="00C40126">
      <w:pPr>
        <w:spacing w:line="360" w:lineRule="auto"/>
        <w:jc w:val="both"/>
        <w:rPr>
          <w:rFonts w:ascii="Verdana" w:hAnsi="Verdana"/>
          <w:b/>
          <w:smallCaps/>
          <w:color w:val="000000"/>
          <w:sz w:val="16"/>
          <w:szCs w:val="16"/>
        </w:rPr>
      </w:pPr>
    </w:p>
    <w:p w:rsidR="00C40126" w:rsidRPr="002A7A54" w:rsidRDefault="00DB1F3D" w:rsidP="005A468A">
      <w:pPr>
        <w:pStyle w:val="SemEspaamento"/>
        <w:jc w:val="both"/>
        <w:rPr>
          <w:rFonts w:ascii="Verdana" w:hAnsi="Verdana"/>
          <w:b/>
          <w:sz w:val="16"/>
          <w:szCs w:val="16"/>
        </w:rPr>
      </w:pPr>
      <w:r w:rsidRPr="002A7A54">
        <w:rPr>
          <w:rFonts w:ascii="Verdana" w:hAnsi="Verdana"/>
          <w:b/>
          <w:sz w:val="16"/>
          <w:szCs w:val="16"/>
        </w:rPr>
        <w:t xml:space="preserve">- </w:t>
      </w:r>
      <w:r w:rsidR="00C64626" w:rsidRPr="002A7A54">
        <w:rPr>
          <w:rFonts w:ascii="Verdana" w:hAnsi="Verdana"/>
          <w:b/>
          <w:sz w:val="16"/>
          <w:szCs w:val="16"/>
        </w:rPr>
        <w:t xml:space="preserve">Quanto aos </w:t>
      </w:r>
      <w:r w:rsidR="00C40126" w:rsidRPr="002A7A54">
        <w:rPr>
          <w:rFonts w:ascii="Verdana" w:hAnsi="Verdana"/>
          <w:b/>
          <w:sz w:val="16"/>
          <w:szCs w:val="16"/>
        </w:rPr>
        <w:t>Índices contábeis adequados para avaliar a boa situação financeira das licitantes</w:t>
      </w:r>
      <w:r w:rsidR="005A468A" w:rsidRPr="002A7A54">
        <w:rPr>
          <w:rFonts w:ascii="Verdana" w:hAnsi="Verdana"/>
          <w:b/>
          <w:sz w:val="16"/>
          <w:szCs w:val="16"/>
        </w:rPr>
        <w:t>.</w:t>
      </w:r>
    </w:p>
    <w:p w:rsidR="00C40126" w:rsidRPr="002A7A54" w:rsidRDefault="00C40126" w:rsidP="00C40126">
      <w:pPr>
        <w:jc w:val="both"/>
        <w:rPr>
          <w:rFonts w:ascii="Verdana" w:hAnsi="Verdana"/>
          <w:color w:val="000000"/>
          <w:sz w:val="16"/>
          <w:szCs w:val="16"/>
        </w:rPr>
      </w:pPr>
    </w:p>
    <w:p w:rsidR="00973572" w:rsidRPr="002A7A54" w:rsidRDefault="00C40126" w:rsidP="00B7134E">
      <w:pPr>
        <w:ind w:firstLine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color w:val="000000"/>
          <w:sz w:val="16"/>
          <w:szCs w:val="16"/>
        </w:rPr>
        <w:t xml:space="preserve">O item </w:t>
      </w:r>
      <w:r w:rsidR="00973572" w:rsidRPr="002A7A54">
        <w:rPr>
          <w:rFonts w:ascii="Verdana" w:hAnsi="Verdana"/>
          <w:b/>
          <w:sz w:val="16"/>
          <w:szCs w:val="16"/>
        </w:rPr>
        <w:t>07.04 do edital, exigiu, dentre outros requisitos, que as empresas interessadas no certame deverão apresentar Comprovação da boa situação financeira da empresa</w:t>
      </w:r>
      <w:r w:rsidR="00973572" w:rsidRPr="002A7A54">
        <w:rPr>
          <w:rFonts w:ascii="Verdana" w:hAnsi="Verdana"/>
          <w:sz w:val="16"/>
          <w:szCs w:val="16"/>
        </w:rPr>
        <w:t>, que dar-se-á, sob pena de inabilitação, por índices que atendam aos limites estabelecidos abaixo:</w:t>
      </w:r>
    </w:p>
    <w:p w:rsidR="00973572" w:rsidRPr="002A7A54" w:rsidRDefault="00973572" w:rsidP="00973572">
      <w:pPr>
        <w:ind w:left="1701"/>
        <w:jc w:val="both"/>
        <w:rPr>
          <w:rFonts w:ascii="Verdana" w:hAnsi="Verdana"/>
          <w:sz w:val="16"/>
          <w:szCs w:val="16"/>
        </w:rPr>
      </w:pP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ab/>
        <w:t>ILG</w:t>
      </w:r>
      <w:r w:rsidRPr="002A7A54">
        <w:rPr>
          <w:rFonts w:ascii="Verdana" w:hAnsi="Verdana"/>
          <w:sz w:val="16"/>
          <w:szCs w:val="16"/>
        </w:rPr>
        <w:tab/>
        <w:t>=</w:t>
      </w:r>
      <w:r w:rsidRPr="002A7A54">
        <w:rPr>
          <w:rFonts w:ascii="Verdana" w:hAnsi="Verdana"/>
          <w:sz w:val="16"/>
          <w:szCs w:val="16"/>
        </w:rPr>
        <w:tab/>
        <w:t>Índice de Liquidez Geral</w:t>
      </w: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ab/>
        <w:t>ISG</w:t>
      </w:r>
      <w:r w:rsidRPr="002A7A54">
        <w:rPr>
          <w:rFonts w:ascii="Verdana" w:hAnsi="Verdana"/>
          <w:sz w:val="16"/>
          <w:szCs w:val="16"/>
        </w:rPr>
        <w:tab/>
        <w:t>=</w:t>
      </w:r>
      <w:r w:rsidRPr="002A7A54">
        <w:rPr>
          <w:rFonts w:ascii="Verdana" w:hAnsi="Verdana"/>
          <w:sz w:val="16"/>
          <w:szCs w:val="16"/>
        </w:rPr>
        <w:tab/>
        <w:t>Índice de Solvência Geral</w:t>
      </w: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ab/>
        <w:t>ILC</w:t>
      </w:r>
      <w:r w:rsidRPr="002A7A54">
        <w:rPr>
          <w:rFonts w:ascii="Verdana" w:hAnsi="Verdana"/>
          <w:sz w:val="16"/>
          <w:szCs w:val="16"/>
        </w:rPr>
        <w:tab/>
        <w:t>=</w:t>
      </w:r>
      <w:r w:rsidRPr="002A7A54">
        <w:rPr>
          <w:rFonts w:ascii="Verdana" w:hAnsi="Verdana"/>
          <w:sz w:val="16"/>
          <w:szCs w:val="16"/>
        </w:rPr>
        <w:tab/>
        <w:t>Índice de Liquidez Corrente</w:t>
      </w: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ab/>
        <w:t>IE</w:t>
      </w:r>
      <w:r w:rsidRPr="002A7A54">
        <w:rPr>
          <w:rFonts w:ascii="Verdana" w:hAnsi="Verdana"/>
          <w:sz w:val="16"/>
          <w:szCs w:val="16"/>
        </w:rPr>
        <w:tab/>
        <w:t>=</w:t>
      </w:r>
      <w:r w:rsidRPr="002A7A54">
        <w:rPr>
          <w:rFonts w:ascii="Verdana" w:hAnsi="Verdana"/>
          <w:sz w:val="16"/>
          <w:szCs w:val="16"/>
        </w:rPr>
        <w:tab/>
        <w:t>Índice de Endividamento</w:t>
      </w:r>
    </w:p>
    <w:p w:rsidR="00973572" w:rsidRPr="002A7A54" w:rsidRDefault="00973572" w:rsidP="00973572">
      <w:pPr>
        <w:ind w:left="1701"/>
        <w:jc w:val="both"/>
        <w:rPr>
          <w:rFonts w:ascii="Verdana" w:hAnsi="Verdana"/>
          <w:sz w:val="16"/>
          <w:szCs w:val="16"/>
        </w:rPr>
      </w:pPr>
    </w:p>
    <w:p w:rsidR="00973572" w:rsidRPr="002A7A54" w:rsidRDefault="00973572" w:rsidP="00973572">
      <w:pPr>
        <w:ind w:left="567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b/>
          <w:sz w:val="16"/>
          <w:szCs w:val="16"/>
        </w:rPr>
        <w:t>07.04.01.</w:t>
      </w:r>
      <w:r w:rsidRPr="002A7A54">
        <w:rPr>
          <w:rFonts w:ascii="Verdana" w:hAnsi="Verdana"/>
          <w:sz w:val="16"/>
          <w:szCs w:val="16"/>
        </w:rPr>
        <w:t xml:space="preserve"> As fórmulas para os índices ILG, ISG e ILC, são as que seguem abaixo, sendo que o resultado dos três índices deve ser igual ou maior a 1,0 (</w:t>
      </w:r>
      <w:proofErr w:type="gramStart"/>
      <w:r w:rsidRPr="002A7A54">
        <w:rPr>
          <w:rFonts w:ascii="Verdana" w:hAnsi="Verdana"/>
          <w:sz w:val="16"/>
          <w:szCs w:val="16"/>
        </w:rPr>
        <w:t>um vírgula</w:t>
      </w:r>
      <w:proofErr w:type="gramEnd"/>
      <w:r w:rsidRPr="002A7A54">
        <w:rPr>
          <w:rFonts w:ascii="Verdana" w:hAnsi="Verdana"/>
          <w:sz w:val="16"/>
          <w:szCs w:val="16"/>
        </w:rPr>
        <w:t xml:space="preserve"> zero):</w:t>
      </w: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ab/>
        <w:t>ILG</w:t>
      </w:r>
      <w:r w:rsidRPr="002A7A54">
        <w:rPr>
          <w:rFonts w:ascii="Verdana" w:hAnsi="Verdana"/>
          <w:sz w:val="16"/>
          <w:szCs w:val="16"/>
        </w:rPr>
        <w:tab/>
        <w:t>=</w:t>
      </w: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  <w:u w:val="single"/>
        </w:rPr>
        <w:t>Ativo Circulante + Realizável a Longo Prazo</w:t>
      </w: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  <w:t>Passivo Circulante + Exigível a Longo Prazo</w:t>
      </w: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ab/>
        <w:t>ISG</w:t>
      </w:r>
      <w:r w:rsidRPr="002A7A54">
        <w:rPr>
          <w:rFonts w:ascii="Verdana" w:hAnsi="Verdana"/>
          <w:sz w:val="16"/>
          <w:szCs w:val="16"/>
        </w:rPr>
        <w:tab/>
        <w:t>=</w:t>
      </w:r>
      <w:r w:rsidRPr="002A7A54">
        <w:rPr>
          <w:rFonts w:ascii="Verdana" w:hAnsi="Verdana"/>
          <w:sz w:val="16"/>
          <w:szCs w:val="16"/>
        </w:rPr>
        <w:tab/>
        <w:t>_____________</w:t>
      </w:r>
      <w:r w:rsidRPr="002A7A54">
        <w:rPr>
          <w:rFonts w:ascii="Verdana" w:hAnsi="Verdana"/>
          <w:sz w:val="16"/>
          <w:szCs w:val="16"/>
          <w:u w:val="single"/>
        </w:rPr>
        <w:t>Ativo Total</w:t>
      </w:r>
      <w:r w:rsidRPr="002A7A54">
        <w:rPr>
          <w:rFonts w:ascii="Verdana" w:hAnsi="Verdana"/>
          <w:sz w:val="16"/>
          <w:szCs w:val="16"/>
          <w:u w:val="single"/>
        </w:rPr>
        <w:tab/>
        <w:t>_________</w:t>
      </w:r>
      <w:r w:rsidRPr="002A7A54">
        <w:rPr>
          <w:rFonts w:ascii="Verdana" w:hAnsi="Verdana"/>
          <w:sz w:val="16"/>
          <w:szCs w:val="16"/>
        </w:rPr>
        <w:tab/>
        <w:t xml:space="preserve">  </w:t>
      </w: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  <w:t xml:space="preserve">Passivo Circulante + Exigível a Longo Prazo </w:t>
      </w: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lastRenderedPageBreak/>
        <w:tab/>
        <w:t>ILC</w:t>
      </w:r>
      <w:r w:rsidRPr="002A7A54">
        <w:rPr>
          <w:rFonts w:ascii="Verdana" w:hAnsi="Verdana"/>
          <w:sz w:val="16"/>
          <w:szCs w:val="16"/>
        </w:rPr>
        <w:tab/>
        <w:t>=</w:t>
      </w: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  <w:u w:val="single"/>
        </w:rPr>
        <w:t>Ativo Circulante</w:t>
      </w:r>
      <w:r w:rsidRPr="002A7A54">
        <w:rPr>
          <w:rFonts w:ascii="Verdana" w:hAnsi="Verdana"/>
          <w:sz w:val="16"/>
          <w:szCs w:val="16"/>
        </w:rPr>
        <w:tab/>
        <w:t xml:space="preserve">     </w:t>
      </w: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  <w:t>Passivo Circulante</w:t>
      </w:r>
      <w:r w:rsidRPr="002A7A54">
        <w:rPr>
          <w:rFonts w:ascii="Verdana" w:hAnsi="Verdana"/>
          <w:sz w:val="16"/>
          <w:szCs w:val="16"/>
        </w:rPr>
        <w:tab/>
        <w:t xml:space="preserve">      </w:t>
      </w:r>
    </w:p>
    <w:p w:rsidR="00973572" w:rsidRPr="002A7A54" w:rsidRDefault="00973572" w:rsidP="00973572">
      <w:pPr>
        <w:ind w:left="1701"/>
        <w:jc w:val="both"/>
        <w:rPr>
          <w:rFonts w:ascii="Verdana" w:hAnsi="Verdana"/>
          <w:sz w:val="16"/>
          <w:szCs w:val="16"/>
        </w:rPr>
      </w:pPr>
    </w:p>
    <w:p w:rsidR="00973572" w:rsidRPr="002A7A54" w:rsidRDefault="00973572" w:rsidP="00973572">
      <w:pPr>
        <w:ind w:left="567"/>
        <w:jc w:val="both"/>
        <w:rPr>
          <w:rFonts w:ascii="Verdana" w:hAnsi="Verdana"/>
          <w:b/>
          <w:sz w:val="16"/>
          <w:szCs w:val="16"/>
        </w:rPr>
      </w:pPr>
    </w:p>
    <w:p w:rsidR="00973572" w:rsidRPr="002A7A54" w:rsidRDefault="00973572" w:rsidP="00973572">
      <w:pPr>
        <w:ind w:left="567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b/>
          <w:sz w:val="16"/>
          <w:szCs w:val="16"/>
        </w:rPr>
        <w:t>07.04.02.</w:t>
      </w:r>
      <w:r w:rsidRPr="002A7A54">
        <w:rPr>
          <w:rFonts w:ascii="Verdana" w:hAnsi="Verdana"/>
          <w:sz w:val="16"/>
          <w:szCs w:val="16"/>
        </w:rPr>
        <w:t xml:space="preserve"> A fórmula para o IE é a que segue abaixo, sendo que o resultado deverá ser menor ou igual a 0,50 (cinquenta centésimos).</w:t>
      </w:r>
    </w:p>
    <w:p w:rsidR="00973572" w:rsidRPr="002A7A54" w:rsidRDefault="00973572" w:rsidP="00973572">
      <w:pPr>
        <w:ind w:left="1701"/>
        <w:jc w:val="both"/>
        <w:rPr>
          <w:rFonts w:ascii="Verdana" w:hAnsi="Verdana"/>
          <w:sz w:val="16"/>
          <w:szCs w:val="16"/>
        </w:rPr>
      </w:pPr>
    </w:p>
    <w:p w:rsidR="00973572" w:rsidRPr="002A7A54" w:rsidRDefault="00973572" w:rsidP="00973572">
      <w:pPr>
        <w:ind w:left="1134"/>
        <w:jc w:val="both"/>
        <w:rPr>
          <w:rFonts w:ascii="Verdana" w:hAnsi="Verdana"/>
          <w:sz w:val="16"/>
          <w:szCs w:val="16"/>
          <w:u w:val="single"/>
        </w:rPr>
      </w:pPr>
      <w:r w:rsidRPr="002A7A54">
        <w:rPr>
          <w:rFonts w:ascii="Verdana" w:hAnsi="Verdana"/>
          <w:sz w:val="16"/>
          <w:szCs w:val="16"/>
        </w:rPr>
        <w:tab/>
        <w:t>IE</w:t>
      </w:r>
      <w:r w:rsidRPr="002A7A54">
        <w:rPr>
          <w:rFonts w:ascii="Verdana" w:hAnsi="Verdana"/>
          <w:sz w:val="16"/>
          <w:szCs w:val="16"/>
        </w:rPr>
        <w:tab/>
        <w:t>=</w:t>
      </w: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  <w:u w:val="single"/>
        </w:rPr>
        <w:t>Passivo Circulante + Exigível a Longo Prazo</w:t>
      </w:r>
    </w:p>
    <w:p w:rsidR="00C40126" w:rsidRPr="002A7A54" w:rsidRDefault="00973572" w:rsidP="00973572">
      <w:pPr>
        <w:spacing w:line="360" w:lineRule="auto"/>
        <w:ind w:firstLine="2280"/>
        <w:jc w:val="both"/>
        <w:rPr>
          <w:rFonts w:ascii="Verdana" w:hAnsi="Verdana"/>
          <w:color w:val="000000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</w:r>
      <w:r w:rsidRPr="002A7A54">
        <w:rPr>
          <w:rFonts w:ascii="Verdana" w:hAnsi="Verdana"/>
          <w:sz w:val="16"/>
          <w:szCs w:val="16"/>
        </w:rPr>
        <w:tab/>
        <w:t>Ativo Total</w:t>
      </w:r>
      <w:r w:rsidRPr="002A7A54">
        <w:rPr>
          <w:rFonts w:ascii="Verdana" w:hAnsi="Verdana"/>
          <w:sz w:val="16"/>
          <w:szCs w:val="16"/>
        </w:rPr>
        <w:tab/>
        <w:t xml:space="preserve"> </w:t>
      </w:r>
      <w:r w:rsidRPr="002A7A54">
        <w:rPr>
          <w:rFonts w:ascii="Verdana" w:hAnsi="Verdana"/>
          <w:sz w:val="16"/>
          <w:szCs w:val="16"/>
        </w:rPr>
        <w:tab/>
      </w:r>
    </w:p>
    <w:p w:rsidR="00973572" w:rsidRPr="002A7A54" w:rsidRDefault="00973572" w:rsidP="00C40126">
      <w:pPr>
        <w:spacing w:line="360" w:lineRule="auto"/>
        <w:ind w:firstLine="2280"/>
        <w:jc w:val="both"/>
        <w:rPr>
          <w:rFonts w:ascii="Verdana" w:hAnsi="Verdana"/>
          <w:color w:val="000000"/>
          <w:sz w:val="16"/>
          <w:szCs w:val="16"/>
        </w:rPr>
      </w:pPr>
    </w:p>
    <w:p w:rsidR="00C40126" w:rsidRPr="002A7A54" w:rsidRDefault="00C40126" w:rsidP="00C40126">
      <w:pPr>
        <w:spacing w:line="360" w:lineRule="auto"/>
        <w:ind w:firstLine="2279"/>
        <w:jc w:val="both"/>
        <w:rPr>
          <w:rFonts w:ascii="Verdana" w:hAnsi="Verdana"/>
          <w:color w:val="000000"/>
          <w:sz w:val="16"/>
          <w:szCs w:val="16"/>
        </w:rPr>
      </w:pPr>
      <w:r w:rsidRPr="002A7A54">
        <w:rPr>
          <w:rFonts w:ascii="Verdana" w:hAnsi="Verdana"/>
          <w:color w:val="000000"/>
          <w:sz w:val="16"/>
          <w:szCs w:val="16"/>
        </w:rPr>
        <w:t>A disciplina relativa à eleição dos índices contábeis no edital pela Administração encontra-se disposta no artigo 31, §§ 1º e 5º, da Lei nº 8.666/93:</w:t>
      </w:r>
    </w:p>
    <w:p w:rsidR="00C40126" w:rsidRPr="002A7A54" w:rsidRDefault="00C40126" w:rsidP="00C40126">
      <w:pPr>
        <w:ind w:firstLine="2279"/>
        <w:jc w:val="both"/>
        <w:rPr>
          <w:rFonts w:ascii="Verdana" w:hAnsi="Verdana"/>
          <w:color w:val="000000"/>
          <w:sz w:val="16"/>
          <w:szCs w:val="16"/>
        </w:rPr>
      </w:pPr>
    </w:p>
    <w:p w:rsidR="00C40126" w:rsidRPr="002A7A54" w:rsidRDefault="00C40126" w:rsidP="00C40126">
      <w:pPr>
        <w:ind w:left="2880"/>
        <w:jc w:val="both"/>
        <w:rPr>
          <w:rFonts w:ascii="Verdana" w:hAnsi="Verdana"/>
          <w:i/>
          <w:color w:val="000000"/>
          <w:sz w:val="16"/>
          <w:szCs w:val="16"/>
        </w:rPr>
      </w:pPr>
      <w:r w:rsidRPr="002A7A54">
        <w:rPr>
          <w:rFonts w:ascii="Verdana" w:hAnsi="Verdana"/>
          <w:i/>
          <w:color w:val="000000"/>
          <w:sz w:val="16"/>
          <w:szCs w:val="16"/>
        </w:rPr>
        <w:t>Art. 31. (...)</w:t>
      </w:r>
    </w:p>
    <w:p w:rsidR="00C40126" w:rsidRPr="002A7A54" w:rsidRDefault="00C40126" w:rsidP="00C40126">
      <w:pPr>
        <w:ind w:left="2880"/>
        <w:jc w:val="both"/>
        <w:rPr>
          <w:rFonts w:ascii="Verdana" w:hAnsi="Verdana"/>
          <w:i/>
          <w:color w:val="000000"/>
          <w:sz w:val="16"/>
          <w:szCs w:val="16"/>
        </w:rPr>
      </w:pPr>
      <w:r w:rsidRPr="002A7A54">
        <w:rPr>
          <w:rFonts w:ascii="Verdana" w:hAnsi="Verdana"/>
          <w:i/>
          <w:color w:val="000000"/>
          <w:sz w:val="16"/>
          <w:szCs w:val="16"/>
        </w:rPr>
        <w:t>§1º A exigência de índices limitar-se-á à demonstração da capacidade financeira do licitante com vistas aos compromissos que terá que assumir caso lhe seja adjudicado o contrato, vedada a exigência de valores mínimos de faturamento anterior, índices de rentabilidade ou lucratividade.</w:t>
      </w:r>
    </w:p>
    <w:p w:rsidR="00C40126" w:rsidRPr="002A7A54" w:rsidRDefault="00C40126" w:rsidP="00C40126">
      <w:pPr>
        <w:ind w:left="2880"/>
        <w:jc w:val="both"/>
        <w:rPr>
          <w:rFonts w:ascii="Verdana" w:hAnsi="Verdana"/>
          <w:i/>
          <w:color w:val="000000"/>
          <w:sz w:val="16"/>
          <w:szCs w:val="16"/>
        </w:rPr>
      </w:pPr>
      <w:r w:rsidRPr="002A7A54">
        <w:rPr>
          <w:rFonts w:ascii="Verdana" w:hAnsi="Verdana"/>
          <w:i/>
          <w:color w:val="000000"/>
          <w:sz w:val="16"/>
          <w:szCs w:val="16"/>
        </w:rPr>
        <w:t>(...)</w:t>
      </w:r>
    </w:p>
    <w:p w:rsidR="00C40126" w:rsidRPr="00C838D8" w:rsidRDefault="00C40126" w:rsidP="00C40126">
      <w:pPr>
        <w:ind w:left="2880"/>
        <w:jc w:val="both"/>
        <w:rPr>
          <w:rFonts w:ascii="Verdana" w:hAnsi="Verdana"/>
          <w:i/>
          <w:color w:val="000000"/>
          <w:sz w:val="16"/>
          <w:szCs w:val="16"/>
        </w:rPr>
      </w:pPr>
      <w:r w:rsidRPr="002A7A54">
        <w:rPr>
          <w:rFonts w:ascii="Verdana" w:hAnsi="Verdana"/>
          <w:i/>
          <w:color w:val="000000"/>
          <w:sz w:val="16"/>
          <w:szCs w:val="16"/>
        </w:rPr>
        <w:t xml:space="preserve">§ 5º A comprovação da boa situação financeira da empresa será feita de forma objetiva, através do cálculo de índices contábeis previstos no edital e devidamente justificados no processo administrativo da licitação que tenha dado início ao certame licitatório, </w:t>
      </w:r>
      <w:r w:rsidRPr="00C838D8">
        <w:rPr>
          <w:rFonts w:ascii="Verdana" w:hAnsi="Verdana"/>
          <w:i/>
          <w:color w:val="000000"/>
          <w:sz w:val="16"/>
          <w:szCs w:val="16"/>
        </w:rPr>
        <w:t xml:space="preserve">vedada a exigência de índices e valores não usualmente adotados para a correta avaliação de situação financeira suficiente ao cumprimento das obrigações decorrentes da licitação </w:t>
      </w:r>
      <w:r w:rsidRPr="00C838D8">
        <w:rPr>
          <w:rFonts w:ascii="Verdana" w:hAnsi="Verdana"/>
          <w:color w:val="000000"/>
          <w:sz w:val="16"/>
          <w:szCs w:val="16"/>
        </w:rPr>
        <w:t>(destaques nossos).</w:t>
      </w:r>
    </w:p>
    <w:p w:rsidR="00C40126" w:rsidRPr="002A7A54" w:rsidRDefault="00C40126" w:rsidP="00C40126">
      <w:pPr>
        <w:spacing w:line="360" w:lineRule="auto"/>
        <w:ind w:firstLine="2279"/>
        <w:jc w:val="both"/>
        <w:rPr>
          <w:rFonts w:ascii="Verdana" w:hAnsi="Verdana"/>
          <w:color w:val="000000"/>
          <w:sz w:val="16"/>
          <w:szCs w:val="16"/>
        </w:rPr>
      </w:pPr>
    </w:p>
    <w:p w:rsidR="00C40126" w:rsidRPr="002A7A54" w:rsidRDefault="00C40126" w:rsidP="00DB1F3D">
      <w:pPr>
        <w:ind w:firstLine="2279"/>
        <w:jc w:val="both"/>
        <w:rPr>
          <w:rFonts w:ascii="Verdana" w:hAnsi="Verdana"/>
          <w:color w:val="000000"/>
          <w:sz w:val="16"/>
          <w:szCs w:val="16"/>
        </w:rPr>
      </w:pPr>
      <w:r w:rsidRPr="002A7A54">
        <w:rPr>
          <w:rFonts w:ascii="Verdana" w:hAnsi="Verdana"/>
          <w:color w:val="000000"/>
          <w:sz w:val="16"/>
          <w:szCs w:val="16"/>
        </w:rPr>
        <w:t>Depreende-se dos dispositivos legais que os índices contábeis devem ser definidos de acordo com o objeto e características do contrato, bem como das obrigações decorrentes da licitação. Por esta razão, não foram previamente fixados na lei os valores relativos a esses índices, havendo, aqui, discricionariedade para a Administração adequá-los em cada caso concreto.</w:t>
      </w:r>
    </w:p>
    <w:p w:rsidR="002E554F" w:rsidRPr="002A7A54" w:rsidRDefault="002E554F" w:rsidP="00C40126">
      <w:pPr>
        <w:spacing w:line="360" w:lineRule="auto"/>
        <w:ind w:firstLine="2279"/>
        <w:jc w:val="both"/>
        <w:rPr>
          <w:rFonts w:ascii="Verdana" w:hAnsi="Verdana"/>
          <w:sz w:val="16"/>
          <w:szCs w:val="16"/>
        </w:rPr>
      </w:pPr>
    </w:p>
    <w:p w:rsidR="00C40126" w:rsidRPr="002A7A54" w:rsidRDefault="00C40126" w:rsidP="002E554F">
      <w:pPr>
        <w:ind w:firstLine="2279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 xml:space="preserve">Diante dessas características e da própria natureza dos serviços, não há dúvida de que os índices contábeis adotados no edital </w:t>
      </w:r>
      <w:r w:rsidR="002E554F" w:rsidRPr="002A7A54">
        <w:rPr>
          <w:rFonts w:ascii="Verdana" w:hAnsi="Verdana"/>
          <w:sz w:val="16"/>
          <w:szCs w:val="16"/>
        </w:rPr>
        <w:t>servem</w:t>
      </w:r>
      <w:r w:rsidRPr="002A7A54">
        <w:rPr>
          <w:rFonts w:ascii="Verdana" w:hAnsi="Verdana"/>
          <w:sz w:val="16"/>
          <w:szCs w:val="16"/>
        </w:rPr>
        <w:t xml:space="preserve"> adequadamente </w:t>
      </w:r>
      <w:r w:rsidR="002E554F" w:rsidRPr="002A7A54">
        <w:rPr>
          <w:rFonts w:ascii="Verdana" w:hAnsi="Verdana"/>
          <w:sz w:val="16"/>
          <w:szCs w:val="16"/>
        </w:rPr>
        <w:t xml:space="preserve">para aferir </w:t>
      </w:r>
      <w:r w:rsidRPr="002A7A54">
        <w:rPr>
          <w:rFonts w:ascii="Verdana" w:hAnsi="Verdana"/>
          <w:sz w:val="16"/>
          <w:szCs w:val="16"/>
        </w:rPr>
        <w:t>a capacidade financeira das licitantes, seguindo o parâmetro da suficiência do cumprimento das obrigações decorrentes da licitação.</w:t>
      </w:r>
    </w:p>
    <w:p w:rsidR="00C40126" w:rsidRPr="002A7A54" w:rsidRDefault="00C40126" w:rsidP="00C40126">
      <w:pPr>
        <w:spacing w:line="360" w:lineRule="auto"/>
        <w:ind w:firstLine="2279"/>
        <w:jc w:val="both"/>
        <w:rPr>
          <w:rFonts w:ascii="Verdana" w:hAnsi="Verdana"/>
          <w:sz w:val="16"/>
          <w:szCs w:val="16"/>
        </w:rPr>
      </w:pPr>
    </w:p>
    <w:p w:rsidR="00026374" w:rsidRPr="002A7A54" w:rsidRDefault="00026374" w:rsidP="002E554F">
      <w:pPr>
        <w:ind w:firstLine="2268"/>
        <w:jc w:val="both"/>
        <w:rPr>
          <w:rFonts w:ascii="Verdana" w:hAnsi="Verdana" w:cs="Arial"/>
          <w:sz w:val="16"/>
          <w:szCs w:val="16"/>
        </w:rPr>
      </w:pPr>
      <w:r w:rsidRPr="002A7A54">
        <w:rPr>
          <w:rFonts w:ascii="Verdana" w:hAnsi="Verdana" w:cs="Arial"/>
          <w:sz w:val="16"/>
          <w:szCs w:val="16"/>
        </w:rPr>
        <w:t xml:space="preserve">Nesse sentido, há inúmeras Decisões por parte </w:t>
      </w:r>
      <w:r w:rsidR="002E554F" w:rsidRPr="002A7A54">
        <w:rPr>
          <w:rFonts w:ascii="Verdana" w:hAnsi="Verdana" w:cs="Arial"/>
          <w:sz w:val="16"/>
          <w:szCs w:val="16"/>
        </w:rPr>
        <w:t>do</w:t>
      </w:r>
      <w:r w:rsidR="005D53BB" w:rsidRPr="002A7A54">
        <w:rPr>
          <w:rFonts w:ascii="Verdana" w:hAnsi="Verdana" w:cs="Arial"/>
          <w:sz w:val="16"/>
          <w:szCs w:val="16"/>
        </w:rPr>
        <w:t>s</w:t>
      </w:r>
      <w:r w:rsidR="002E554F" w:rsidRPr="002A7A54">
        <w:rPr>
          <w:rFonts w:ascii="Verdana" w:hAnsi="Verdana" w:cs="Arial"/>
          <w:sz w:val="16"/>
          <w:szCs w:val="16"/>
        </w:rPr>
        <w:t xml:space="preserve"> </w:t>
      </w:r>
      <w:r w:rsidR="005D53BB" w:rsidRPr="002A7A54">
        <w:rPr>
          <w:rFonts w:ascii="Verdana" w:hAnsi="Verdana" w:cs="Arial"/>
          <w:sz w:val="16"/>
          <w:szCs w:val="16"/>
        </w:rPr>
        <w:t>Tribunais</w:t>
      </w:r>
      <w:r w:rsidR="002E554F" w:rsidRPr="002A7A54">
        <w:rPr>
          <w:rFonts w:ascii="Verdana" w:hAnsi="Verdana" w:cs="Arial"/>
          <w:sz w:val="16"/>
          <w:szCs w:val="16"/>
        </w:rPr>
        <w:t xml:space="preserve"> de Contas</w:t>
      </w:r>
      <w:r w:rsidRPr="002A7A54">
        <w:rPr>
          <w:rFonts w:ascii="Verdana" w:hAnsi="Verdana" w:cs="Arial"/>
          <w:sz w:val="16"/>
          <w:szCs w:val="16"/>
        </w:rPr>
        <w:t>,</w:t>
      </w:r>
      <w:r w:rsidR="002E554F" w:rsidRPr="002A7A54">
        <w:rPr>
          <w:rFonts w:ascii="Verdana" w:hAnsi="Verdana" w:cs="Arial"/>
          <w:sz w:val="16"/>
          <w:szCs w:val="16"/>
        </w:rPr>
        <w:t xml:space="preserve"> </w:t>
      </w:r>
      <w:r w:rsidRPr="002A7A54">
        <w:rPr>
          <w:rFonts w:ascii="Verdana" w:hAnsi="Verdana" w:cs="Arial"/>
          <w:sz w:val="16"/>
          <w:szCs w:val="16"/>
        </w:rPr>
        <w:t xml:space="preserve">a exemplo daquela proferida no TC –003661/026/08, em sessão de 08/12/09, da E. Segunda Câmara, de Relatoria do Eminente Conselheiro </w:t>
      </w:r>
      <w:proofErr w:type="spellStart"/>
      <w:r w:rsidRPr="002A7A54">
        <w:rPr>
          <w:rFonts w:ascii="Verdana" w:hAnsi="Verdana" w:cs="Arial"/>
          <w:sz w:val="16"/>
          <w:szCs w:val="16"/>
        </w:rPr>
        <w:t>Fulvio</w:t>
      </w:r>
      <w:proofErr w:type="spellEnd"/>
      <w:r w:rsidRPr="002A7A54">
        <w:rPr>
          <w:rFonts w:ascii="Verdana" w:hAnsi="Verdana" w:cs="Arial"/>
          <w:sz w:val="16"/>
          <w:szCs w:val="16"/>
        </w:rPr>
        <w:t xml:space="preserve"> Julião </w:t>
      </w:r>
      <w:proofErr w:type="spellStart"/>
      <w:r w:rsidRPr="002A7A54">
        <w:rPr>
          <w:rFonts w:ascii="Verdana" w:hAnsi="Verdana" w:cs="Arial"/>
          <w:sz w:val="16"/>
          <w:szCs w:val="16"/>
        </w:rPr>
        <w:t>Biazzi</w:t>
      </w:r>
      <w:proofErr w:type="spellEnd"/>
      <w:r w:rsidRPr="002A7A54">
        <w:rPr>
          <w:rFonts w:ascii="Verdana" w:hAnsi="Verdana" w:cs="Arial"/>
          <w:sz w:val="16"/>
          <w:szCs w:val="16"/>
        </w:rPr>
        <w:t xml:space="preserve">, cujo trecho do voto transcrevo a </w:t>
      </w:r>
      <w:proofErr w:type="gramStart"/>
      <w:r w:rsidRPr="002A7A54">
        <w:rPr>
          <w:rFonts w:ascii="Verdana" w:hAnsi="Verdana" w:cs="Arial"/>
          <w:sz w:val="16"/>
          <w:szCs w:val="16"/>
        </w:rPr>
        <w:t>seguir:“</w:t>
      </w:r>
      <w:proofErr w:type="gramEnd"/>
    </w:p>
    <w:p w:rsidR="00026374" w:rsidRPr="002A7A54" w:rsidRDefault="00026374" w:rsidP="00026374">
      <w:pPr>
        <w:jc w:val="both"/>
        <w:rPr>
          <w:rFonts w:ascii="Verdana" w:hAnsi="Verdana" w:cs="Arial"/>
          <w:sz w:val="16"/>
          <w:szCs w:val="16"/>
        </w:rPr>
      </w:pPr>
    </w:p>
    <w:p w:rsidR="00026374" w:rsidRPr="002A7A54" w:rsidRDefault="00026374" w:rsidP="002E554F">
      <w:pPr>
        <w:ind w:left="2268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 w:cs="Arial"/>
          <w:b/>
          <w:i/>
          <w:sz w:val="16"/>
          <w:szCs w:val="16"/>
          <w:u w:val="single"/>
        </w:rPr>
        <w:t>A jurisprudência deste Tribunal tem admitido</w:t>
      </w:r>
      <w:r w:rsidRPr="002A7A54">
        <w:rPr>
          <w:rFonts w:ascii="Verdana" w:hAnsi="Verdana" w:cs="Arial"/>
          <w:i/>
          <w:sz w:val="16"/>
          <w:szCs w:val="16"/>
        </w:rPr>
        <w:t xml:space="preserve"> que a exigência de índices de liquidez corrente e liquidez geral devam oscilar entre 1,00 e 1,50, e o índice de endividamento entre </w:t>
      </w:r>
      <w:r w:rsidRPr="000A3D56">
        <w:rPr>
          <w:rFonts w:ascii="Verdana" w:hAnsi="Verdana" w:cs="Arial"/>
          <w:b/>
          <w:i/>
          <w:sz w:val="16"/>
          <w:szCs w:val="16"/>
        </w:rPr>
        <w:t xml:space="preserve">0,30 e 0,50, </w:t>
      </w:r>
      <w:r w:rsidRPr="000A3D56">
        <w:rPr>
          <w:rFonts w:ascii="Verdana" w:hAnsi="Verdana" w:cs="Arial"/>
          <w:i/>
          <w:sz w:val="16"/>
          <w:szCs w:val="16"/>
        </w:rPr>
        <w:t>podendo, todavia, apresentar-se em patamares superiores desde que sejam</w:t>
      </w:r>
      <w:r w:rsidRPr="002A7A54">
        <w:rPr>
          <w:rFonts w:ascii="Verdana" w:hAnsi="Verdana" w:cs="Arial"/>
          <w:i/>
          <w:sz w:val="16"/>
          <w:szCs w:val="16"/>
        </w:rPr>
        <w:t xml:space="preserve"> trazidas justificativas de ordem técnica que motivassem a limitação imposta no instrumento convocatório, o que no presente caso não ocorreu, alijando da disputa empresas que poderiam deter índices satisfatórios e dentro daquelas variáveis eleitas por esta Casa, restando configurada, portanto, a infringência ao artigo 31, parágrafo 5º, da Lei nº 8.666/93</w:t>
      </w:r>
      <w:r w:rsidRPr="002A7A54">
        <w:rPr>
          <w:rFonts w:ascii="Verdana" w:hAnsi="Verdana" w:cs="Arial"/>
          <w:sz w:val="16"/>
          <w:szCs w:val="16"/>
        </w:rPr>
        <w:t>.</w:t>
      </w:r>
    </w:p>
    <w:p w:rsidR="00026374" w:rsidRPr="002A7A54" w:rsidRDefault="00026374">
      <w:pPr>
        <w:rPr>
          <w:rFonts w:ascii="Verdana" w:hAnsi="Verdana"/>
          <w:sz w:val="16"/>
          <w:szCs w:val="16"/>
        </w:rPr>
      </w:pPr>
    </w:p>
    <w:p w:rsidR="002E554F" w:rsidRPr="002A7A54" w:rsidRDefault="002E554F" w:rsidP="002E554F">
      <w:pPr>
        <w:ind w:firstLine="2268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>Portanto, em momento algum a Administração infringiu qualquer dispositivo legal, ou fez constar de seu edital qualquer exigência que restrinja a participação de empresas interessadas no certame.</w:t>
      </w:r>
    </w:p>
    <w:p w:rsidR="002E554F" w:rsidRDefault="002E554F" w:rsidP="002E554F">
      <w:pPr>
        <w:ind w:firstLine="2268"/>
        <w:jc w:val="both"/>
        <w:rPr>
          <w:rFonts w:ascii="Verdana" w:hAnsi="Verdana"/>
          <w:sz w:val="16"/>
          <w:szCs w:val="16"/>
        </w:rPr>
      </w:pPr>
    </w:p>
    <w:p w:rsidR="002A7A54" w:rsidRDefault="002A7A54" w:rsidP="002E554F">
      <w:pPr>
        <w:ind w:firstLine="2268"/>
        <w:jc w:val="both"/>
        <w:rPr>
          <w:rFonts w:ascii="Verdana" w:hAnsi="Verdana"/>
          <w:sz w:val="16"/>
          <w:szCs w:val="16"/>
        </w:rPr>
      </w:pPr>
    </w:p>
    <w:p w:rsidR="002A7A54" w:rsidRPr="002A7A54" w:rsidRDefault="002A7A54" w:rsidP="002E554F">
      <w:pPr>
        <w:ind w:firstLine="2268"/>
        <w:jc w:val="both"/>
        <w:rPr>
          <w:rFonts w:ascii="Verdana" w:hAnsi="Verdana"/>
          <w:sz w:val="16"/>
          <w:szCs w:val="16"/>
        </w:rPr>
      </w:pPr>
    </w:p>
    <w:p w:rsidR="002E554F" w:rsidRPr="002A7A54" w:rsidRDefault="002E554F" w:rsidP="002E554F">
      <w:pPr>
        <w:ind w:firstLine="2268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lastRenderedPageBreak/>
        <w:t xml:space="preserve">Pelo contrário, respaldou-se no seu poder discricionário, nas devidas provisões legais e no entendimento </w:t>
      </w:r>
      <w:r w:rsidR="005D53BB" w:rsidRPr="002A7A54">
        <w:rPr>
          <w:rFonts w:ascii="Verdana" w:hAnsi="Verdana"/>
          <w:sz w:val="16"/>
          <w:szCs w:val="16"/>
        </w:rPr>
        <w:t>dos Tribunais</w:t>
      </w:r>
      <w:r w:rsidR="00C838D8">
        <w:rPr>
          <w:rFonts w:ascii="Verdana" w:hAnsi="Verdana"/>
          <w:sz w:val="16"/>
          <w:szCs w:val="16"/>
        </w:rPr>
        <w:t xml:space="preserve"> de Contas</w:t>
      </w:r>
      <w:r w:rsidR="005D53BB" w:rsidRPr="002A7A54">
        <w:rPr>
          <w:rFonts w:ascii="Verdana" w:hAnsi="Verdana"/>
          <w:sz w:val="16"/>
          <w:szCs w:val="16"/>
        </w:rPr>
        <w:t>.</w:t>
      </w:r>
    </w:p>
    <w:p w:rsidR="005D53BB" w:rsidRPr="002A7A54" w:rsidRDefault="005D53BB" w:rsidP="002E554F">
      <w:pPr>
        <w:ind w:firstLine="2268"/>
        <w:jc w:val="both"/>
        <w:rPr>
          <w:rFonts w:ascii="Verdana" w:hAnsi="Verdana"/>
          <w:sz w:val="16"/>
          <w:szCs w:val="16"/>
        </w:rPr>
      </w:pPr>
    </w:p>
    <w:p w:rsidR="005D53BB" w:rsidRDefault="005D53BB" w:rsidP="002E554F">
      <w:pPr>
        <w:ind w:firstLine="2268"/>
        <w:jc w:val="both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>Face ao exposto, fica mantido o edital em todos os seus termos.</w:t>
      </w:r>
    </w:p>
    <w:p w:rsidR="002A7A54" w:rsidRDefault="002A7A54" w:rsidP="002E554F">
      <w:pPr>
        <w:ind w:firstLine="2268"/>
        <w:jc w:val="both"/>
        <w:rPr>
          <w:rFonts w:ascii="Verdana" w:hAnsi="Verdana"/>
          <w:sz w:val="16"/>
          <w:szCs w:val="16"/>
        </w:rPr>
      </w:pPr>
    </w:p>
    <w:p w:rsidR="002A7A54" w:rsidRDefault="002A7A54" w:rsidP="002E554F">
      <w:pPr>
        <w:ind w:firstLine="22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Era o que tínhamos a esclarecer.</w:t>
      </w:r>
    </w:p>
    <w:p w:rsidR="007B1014" w:rsidRDefault="007B1014" w:rsidP="002E554F">
      <w:pPr>
        <w:ind w:firstLine="2268"/>
        <w:jc w:val="both"/>
        <w:rPr>
          <w:rFonts w:ascii="Verdana" w:hAnsi="Verdana"/>
          <w:sz w:val="16"/>
          <w:szCs w:val="16"/>
        </w:rPr>
      </w:pPr>
    </w:p>
    <w:p w:rsidR="007B1014" w:rsidRPr="002A7A54" w:rsidRDefault="007B1014" w:rsidP="002E554F">
      <w:pPr>
        <w:ind w:firstLine="2268"/>
        <w:jc w:val="both"/>
        <w:rPr>
          <w:rFonts w:ascii="Verdana" w:hAnsi="Verdana"/>
          <w:sz w:val="16"/>
          <w:szCs w:val="16"/>
        </w:rPr>
      </w:pPr>
    </w:p>
    <w:p w:rsidR="005D53BB" w:rsidRPr="002A7A54" w:rsidRDefault="005D53BB" w:rsidP="002E554F">
      <w:pPr>
        <w:ind w:firstLine="2268"/>
        <w:jc w:val="both"/>
        <w:rPr>
          <w:rFonts w:ascii="Verdana" w:hAnsi="Verdana"/>
          <w:sz w:val="16"/>
          <w:szCs w:val="16"/>
        </w:rPr>
      </w:pPr>
    </w:p>
    <w:p w:rsidR="002A7A54" w:rsidRPr="002A7A54" w:rsidRDefault="002A7A54" w:rsidP="002E554F">
      <w:pPr>
        <w:ind w:firstLine="2268"/>
        <w:jc w:val="both"/>
        <w:rPr>
          <w:rFonts w:ascii="Verdana" w:hAnsi="Verdana"/>
          <w:sz w:val="16"/>
          <w:szCs w:val="16"/>
        </w:rPr>
      </w:pPr>
    </w:p>
    <w:p w:rsidR="00D0485B" w:rsidRDefault="00D0485B" w:rsidP="00D0485B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Assinado no Original</w:t>
      </w:r>
    </w:p>
    <w:p w:rsidR="002A7A54" w:rsidRPr="002A7A54" w:rsidRDefault="002A7A54" w:rsidP="00D0485B">
      <w:pPr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2A7A54" w:rsidRPr="002A7A54" w:rsidRDefault="002A7A54" w:rsidP="002A7A54">
      <w:pPr>
        <w:jc w:val="center"/>
        <w:rPr>
          <w:rFonts w:ascii="Verdana" w:hAnsi="Verdana"/>
          <w:b/>
          <w:sz w:val="16"/>
          <w:szCs w:val="16"/>
        </w:rPr>
      </w:pPr>
      <w:r w:rsidRPr="002A7A54">
        <w:rPr>
          <w:rFonts w:ascii="Verdana" w:hAnsi="Verdana"/>
          <w:b/>
          <w:sz w:val="16"/>
          <w:szCs w:val="16"/>
        </w:rPr>
        <w:t>ARIANE SOARES DE SOUZA</w:t>
      </w:r>
    </w:p>
    <w:p w:rsidR="002A7A54" w:rsidRPr="002A7A54" w:rsidRDefault="002A7A54" w:rsidP="002A7A54">
      <w:pPr>
        <w:jc w:val="center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>Comissão permanente de Licitações</w:t>
      </w:r>
    </w:p>
    <w:p w:rsidR="002A7A54" w:rsidRPr="002A7A54" w:rsidRDefault="002A7A54" w:rsidP="002A7A54">
      <w:pPr>
        <w:jc w:val="center"/>
        <w:rPr>
          <w:rFonts w:ascii="Verdana" w:hAnsi="Verdana"/>
          <w:sz w:val="16"/>
          <w:szCs w:val="16"/>
        </w:rPr>
      </w:pPr>
      <w:r w:rsidRPr="002A7A54">
        <w:rPr>
          <w:rFonts w:ascii="Verdana" w:hAnsi="Verdana"/>
          <w:sz w:val="16"/>
          <w:szCs w:val="16"/>
        </w:rPr>
        <w:t>Presidente</w:t>
      </w:r>
    </w:p>
    <w:p w:rsidR="005D53BB" w:rsidRPr="002A7A54" w:rsidRDefault="005D53BB" w:rsidP="002E554F">
      <w:pPr>
        <w:ind w:firstLine="2268"/>
        <w:jc w:val="both"/>
        <w:rPr>
          <w:rFonts w:ascii="Verdana" w:hAnsi="Verdana"/>
          <w:sz w:val="16"/>
          <w:szCs w:val="16"/>
        </w:rPr>
      </w:pPr>
    </w:p>
    <w:p w:rsidR="005D53BB" w:rsidRPr="002A7A54" w:rsidRDefault="005D53BB" w:rsidP="002E554F">
      <w:pPr>
        <w:ind w:firstLine="2268"/>
        <w:jc w:val="both"/>
        <w:rPr>
          <w:rFonts w:ascii="Verdana" w:hAnsi="Verdana"/>
          <w:sz w:val="16"/>
          <w:szCs w:val="16"/>
        </w:rPr>
      </w:pPr>
    </w:p>
    <w:p w:rsidR="005D53BB" w:rsidRPr="002A7A54" w:rsidRDefault="005D53BB" w:rsidP="005D53BB">
      <w:pPr>
        <w:jc w:val="both"/>
        <w:rPr>
          <w:rFonts w:ascii="Verdana" w:hAnsi="Verdana"/>
          <w:sz w:val="16"/>
          <w:szCs w:val="16"/>
        </w:rPr>
      </w:pPr>
    </w:p>
    <w:sectPr w:rsidR="005D53BB" w:rsidRPr="002A7A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35" w:rsidRDefault="00303F35" w:rsidP="00303F35">
      <w:r>
        <w:separator/>
      </w:r>
    </w:p>
  </w:endnote>
  <w:endnote w:type="continuationSeparator" w:id="0">
    <w:p w:rsidR="00303F35" w:rsidRDefault="00303F35" w:rsidP="0030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35" w:rsidRDefault="00303F35" w:rsidP="00303F35">
      <w:r>
        <w:separator/>
      </w:r>
    </w:p>
  </w:footnote>
  <w:footnote w:type="continuationSeparator" w:id="0">
    <w:p w:rsidR="00303F35" w:rsidRDefault="00303F35" w:rsidP="0030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35" w:rsidRPr="00303F35" w:rsidRDefault="00303F35" w:rsidP="00303F35">
    <w:pPr>
      <w:tabs>
        <w:tab w:val="left" w:pos="0"/>
      </w:tabs>
      <w:jc w:val="center"/>
      <w:rPr>
        <w:color w:val="FFFFFF"/>
        <w:sz w:val="18"/>
        <w:szCs w:val="18"/>
      </w:rPr>
    </w:pPr>
    <w:r w:rsidRPr="00303F35">
      <w:rPr>
        <w:noProof/>
        <w:color w:val="FFFFFF"/>
        <w:sz w:val="18"/>
        <w:szCs w:val="18"/>
      </w:rPr>
      <w:drawing>
        <wp:inline distT="0" distB="0" distL="0" distR="0">
          <wp:extent cx="6096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F35" w:rsidRPr="00303F35" w:rsidRDefault="00303F35" w:rsidP="00303F35">
    <w:pPr>
      <w:pStyle w:val="Legenda"/>
      <w:rPr>
        <w:sz w:val="18"/>
        <w:szCs w:val="18"/>
      </w:rPr>
    </w:pPr>
    <w:r w:rsidRPr="00303F35">
      <w:rPr>
        <w:sz w:val="18"/>
        <w:szCs w:val="18"/>
      </w:rPr>
      <w:t>PREFEITURA DO MUNICÍPIO DE ARARAQUARA</w:t>
    </w:r>
  </w:p>
  <w:p w:rsidR="00303F35" w:rsidRPr="00303F35" w:rsidRDefault="00303F35" w:rsidP="00303F35">
    <w:pPr>
      <w:keepNext/>
      <w:tabs>
        <w:tab w:val="left" w:pos="708"/>
      </w:tabs>
      <w:jc w:val="center"/>
      <w:outlineLvl w:val="3"/>
      <w:rPr>
        <w:rFonts w:ascii="Verdana" w:hAnsi="Verdana" w:cs="Verdana"/>
        <w:b/>
        <w:bCs/>
        <w:color w:val="000080"/>
        <w:sz w:val="18"/>
        <w:szCs w:val="18"/>
      </w:rPr>
    </w:pPr>
    <w:r w:rsidRPr="00303F35">
      <w:rPr>
        <w:rFonts w:ascii="Verdana" w:hAnsi="Verdana" w:cs="Verdana"/>
        <w:b/>
        <w:bCs/>
        <w:color w:val="000080"/>
        <w:sz w:val="18"/>
        <w:szCs w:val="18"/>
      </w:rPr>
      <w:t>COORDENADORIA EXECUTIVA DE ADMINISTRAÇÃO</w:t>
    </w:r>
  </w:p>
  <w:p w:rsidR="00303F35" w:rsidRPr="00303F35" w:rsidRDefault="00303F35" w:rsidP="00303F35">
    <w:pPr>
      <w:tabs>
        <w:tab w:val="center" w:pos="4419"/>
        <w:tab w:val="right" w:pos="8838"/>
      </w:tabs>
      <w:jc w:val="center"/>
      <w:rPr>
        <w:rFonts w:ascii="Verdana" w:hAnsi="Verdana" w:cs="Verdana"/>
        <w:b/>
        <w:color w:val="000080"/>
        <w:sz w:val="18"/>
        <w:szCs w:val="18"/>
      </w:rPr>
    </w:pPr>
    <w:r w:rsidRPr="00303F35">
      <w:rPr>
        <w:rFonts w:ascii="Verdana" w:hAnsi="Verdana" w:cs="Verdana"/>
        <w:b/>
        <w:color w:val="000080"/>
        <w:sz w:val="18"/>
        <w:szCs w:val="18"/>
      </w:rPr>
      <w:t>GERÊNCIA DE COMPRAS E LICITAÇÕES</w:t>
    </w:r>
  </w:p>
  <w:p w:rsidR="00303F35" w:rsidRPr="00303F35" w:rsidRDefault="00303F35" w:rsidP="00303F35">
    <w:pPr>
      <w:pStyle w:val="Cabealho"/>
      <w:jc w:val="center"/>
      <w:rPr>
        <w:sz w:val="18"/>
        <w:szCs w:val="18"/>
      </w:rPr>
    </w:pPr>
    <w:r w:rsidRPr="00303F35">
      <w:rPr>
        <w:b/>
        <w:color w:val="000080"/>
        <w:sz w:val="18"/>
        <w:szCs w:val="18"/>
      </w:rPr>
      <w:t xml:space="preserve">Paço Municipal – Rua São Bento, 840 – centro – Cep.14.801.901 – Fone: (16) 3301-5143     Site: </w:t>
    </w:r>
    <w:hyperlink r:id="rId2" w:history="1">
      <w:r w:rsidRPr="00303F35">
        <w:rPr>
          <w:b/>
          <w:color w:val="0000FF"/>
          <w:sz w:val="18"/>
          <w:szCs w:val="18"/>
          <w:u w:val="single"/>
        </w:rPr>
        <w:t>www.araraquara.sp.gov.br</w:t>
      </w:r>
    </w:hyperlink>
    <w:r w:rsidRPr="00303F35">
      <w:rPr>
        <w:b/>
        <w:color w:val="000080"/>
        <w:sz w:val="18"/>
        <w:szCs w:val="18"/>
      </w:rPr>
      <w:t xml:space="preserve">     E-mail: edital@araraquara.sp.gov.br</w:t>
    </w:r>
  </w:p>
  <w:p w:rsidR="00303F35" w:rsidRDefault="00303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26"/>
    <w:rsid w:val="00026374"/>
    <w:rsid w:val="000A3D56"/>
    <w:rsid w:val="002A7A54"/>
    <w:rsid w:val="002A7E95"/>
    <w:rsid w:val="002E554F"/>
    <w:rsid w:val="00303F35"/>
    <w:rsid w:val="005A468A"/>
    <w:rsid w:val="005D53BB"/>
    <w:rsid w:val="0068654F"/>
    <w:rsid w:val="007B1014"/>
    <w:rsid w:val="00973572"/>
    <w:rsid w:val="00B7134E"/>
    <w:rsid w:val="00C40126"/>
    <w:rsid w:val="00C64626"/>
    <w:rsid w:val="00C838D8"/>
    <w:rsid w:val="00D0485B"/>
    <w:rsid w:val="00D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4D46-291F-47CE-90CB-B0410B6C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C40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C4012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97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3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F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3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F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03F35"/>
    <w:pPr>
      <w:tabs>
        <w:tab w:val="left" w:pos="-142"/>
      </w:tabs>
      <w:jc w:val="center"/>
    </w:pPr>
    <w:rPr>
      <w:rFonts w:ascii="Bodoni Black" w:hAnsi="Bodoni Black"/>
      <w:b/>
      <w:color w:val="0000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7</cp:revision>
  <dcterms:created xsi:type="dcterms:W3CDTF">2020-06-02T20:52:00Z</dcterms:created>
  <dcterms:modified xsi:type="dcterms:W3CDTF">2020-06-03T17:13:00Z</dcterms:modified>
</cp:coreProperties>
</file>