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6C" w:rsidRDefault="0044766C" w:rsidP="00A76ABC">
      <w:pPr>
        <w:pStyle w:val="Ttulo2"/>
        <w:shd w:val="clear" w:color="auto" w:fill="D9D9D9" w:themeFill="background1" w:themeFillShade="D9"/>
        <w:jc w:val="center"/>
        <w:rPr>
          <w:rStyle w:val="Forte"/>
          <w:rFonts w:ascii="Verdana" w:hAnsi="Verdana"/>
          <w:i/>
          <w:sz w:val="36"/>
          <w:szCs w:val="36"/>
        </w:rPr>
      </w:pPr>
    </w:p>
    <w:p w:rsidR="00A76ABC" w:rsidRPr="00B82AF6" w:rsidRDefault="00A76ABC" w:rsidP="00A76ABC">
      <w:pPr>
        <w:pStyle w:val="Ttulo2"/>
        <w:shd w:val="clear" w:color="auto" w:fill="D9D9D9" w:themeFill="background1" w:themeFillShade="D9"/>
        <w:jc w:val="center"/>
        <w:rPr>
          <w:rStyle w:val="Forte"/>
          <w:rFonts w:ascii="Verdana" w:hAnsi="Verdana"/>
          <w:i/>
          <w:sz w:val="36"/>
          <w:szCs w:val="36"/>
        </w:rPr>
      </w:pPr>
      <w:r>
        <w:rPr>
          <w:rStyle w:val="Forte"/>
          <w:rFonts w:ascii="Verdana" w:hAnsi="Verdana"/>
          <w:i/>
          <w:sz w:val="36"/>
          <w:szCs w:val="36"/>
        </w:rPr>
        <w:t>ESCLARECIMENTO</w:t>
      </w:r>
      <w:r w:rsidR="006B6984">
        <w:rPr>
          <w:rStyle w:val="Forte"/>
          <w:rFonts w:ascii="Verdana" w:hAnsi="Verdana"/>
          <w:i/>
          <w:sz w:val="36"/>
          <w:szCs w:val="36"/>
        </w:rPr>
        <w:t xml:space="preserve"> II</w:t>
      </w:r>
    </w:p>
    <w:p w:rsidR="00A76ABC" w:rsidRDefault="00A76ABC" w:rsidP="00A76ABC">
      <w:pPr>
        <w:pStyle w:val="Ttulo2"/>
        <w:jc w:val="center"/>
        <w:rPr>
          <w:rStyle w:val="Forte"/>
          <w:rFonts w:ascii="Verdana" w:hAnsi="Verdana"/>
          <w:sz w:val="20"/>
        </w:rPr>
      </w:pPr>
    </w:p>
    <w:p w:rsidR="00A76ABC" w:rsidRPr="00647DFA" w:rsidRDefault="00A76ABC" w:rsidP="006572FA">
      <w:pPr>
        <w:pStyle w:val="Ttulo2"/>
        <w:jc w:val="center"/>
        <w:rPr>
          <w:rStyle w:val="Forte"/>
          <w:rFonts w:ascii="Verdana" w:hAnsi="Verdana"/>
          <w:sz w:val="20"/>
        </w:rPr>
      </w:pPr>
      <w:r w:rsidRPr="00647DFA">
        <w:rPr>
          <w:rStyle w:val="Forte"/>
          <w:rFonts w:ascii="Verdana" w:hAnsi="Verdana"/>
          <w:sz w:val="20"/>
        </w:rPr>
        <w:t>PREGÃO</w:t>
      </w:r>
      <w:r w:rsidR="00FB6638">
        <w:rPr>
          <w:rStyle w:val="Forte"/>
          <w:rFonts w:ascii="Verdana" w:hAnsi="Verdana"/>
          <w:sz w:val="20"/>
        </w:rPr>
        <w:t xml:space="preserve"> ELETRÔNICO</w:t>
      </w:r>
      <w:r w:rsidRPr="00647DFA">
        <w:rPr>
          <w:rStyle w:val="Forte"/>
          <w:rFonts w:ascii="Verdana" w:hAnsi="Verdana"/>
          <w:sz w:val="20"/>
        </w:rPr>
        <w:t xml:space="preserve"> Nº </w:t>
      </w:r>
      <w:r w:rsidR="00FB6638">
        <w:rPr>
          <w:rStyle w:val="Forte"/>
          <w:rFonts w:ascii="Verdana" w:hAnsi="Verdana"/>
          <w:sz w:val="20"/>
        </w:rPr>
        <w:t>070</w:t>
      </w:r>
      <w:r w:rsidRPr="00647DFA">
        <w:rPr>
          <w:rStyle w:val="Forte"/>
          <w:rFonts w:ascii="Verdana" w:hAnsi="Verdana"/>
          <w:sz w:val="20"/>
        </w:rPr>
        <w:t>/20</w:t>
      </w:r>
      <w:r w:rsidR="00647DFA" w:rsidRPr="00647DFA">
        <w:rPr>
          <w:rStyle w:val="Forte"/>
          <w:rFonts w:ascii="Verdana" w:hAnsi="Verdana"/>
          <w:sz w:val="20"/>
        </w:rPr>
        <w:t>21</w:t>
      </w:r>
    </w:p>
    <w:p w:rsidR="00A76ABC" w:rsidRPr="00647DFA" w:rsidRDefault="00647DFA" w:rsidP="006572F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47DFA">
        <w:rPr>
          <w:rStyle w:val="Forte"/>
          <w:rFonts w:ascii="Verdana" w:hAnsi="Verdana"/>
          <w:sz w:val="20"/>
          <w:szCs w:val="20"/>
        </w:rPr>
        <w:t>PROCESSO LICITATÓRIO</w:t>
      </w:r>
      <w:r w:rsidR="00A76ABC" w:rsidRPr="00647DFA">
        <w:rPr>
          <w:rStyle w:val="Forte"/>
          <w:rFonts w:ascii="Verdana" w:hAnsi="Verdana"/>
          <w:sz w:val="20"/>
          <w:szCs w:val="20"/>
        </w:rPr>
        <w:t xml:space="preserve"> Nº </w:t>
      </w:r>
      <w:r w:rsidR="00FB6638">
        <w:rPr>
          <w:rStyle w:val="Forte"/>
          <w:rFonts w:ascii="Verdana" w:hAnsi="Verdana"/>
          <w:sz w:val="20"/>
          <w:szCs w:val="20"/>
        </w:rPr>
        <w:t>2189</w:t>
      </w:r>
      <w:r w:rsidR="00A76ABC" w:rsidRPr="00647DFA">
        <w:rPr>
          <w:rStyle w:val="Forte"/>
          <w:rFonts w:ascii="Verdana" w:hAnsi="Verdana"/>
          <w:sz w:val="20"/>
          <w:szCs w:val="20"/>
        </w:rPr>
        <w:t>/</w:t>
      </w:r>
      <w:r w:rsidRPr="00647DFA">
        <w:rPr>
          <w:rStyle w:val="Forte"/>
          <w:rFonts w:ascii="Verdana" w:hAnsi="Verdana"/>
          <w:sz w:val="20"/>
          <w:szCs w:val="20"/>
        </w:rPr>
        <w:t>2021</w:t>
      </w:r>
    </w:p>
    <w:p w:rsidR="00503670" w:rsidRDefault="00FB6638" w:rsidP="006572FA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DE 26</w:t>
      </w:r>
      <w:r w:rsidR="00944BDB">
        <w:rPr>
          <w:rFonts w:ascii="Verdana" w:hAnsi="Verdana" w:cs="Arial"/>
          <w:b/>
          <w:bCs/>
          <w:sz w:val="20"/>
          <w:szCs w:val="20"/>
        </w:rPr>
        <w:t xml:space="preserve"> DE JULHO DE 2021</w:t>
      </w:r>
    </w:p>
    <w:p w:rsidR="006572FA" w:rsidRPr="00647DFA" w:rsidRDefault="006572FA" w:rsidP="006572FA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A76ABC" w:rsidRDefault="00A76ABC" w:rsidP="00C077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7DFA">
        <w:rPr>
          <w:rFonts w:ascii="Verdana" w:hAnsi="Verdana" w:cs="Arial"/>
          <w:bCs/>
          <w:sz w:val="20"/>
          <w:szCs w:val="20"/>
        </w:rPr>
        <w:t>Vimos, através deste, em relação ao Pregão Eletrônico</w:t>
      </w:r>
      <w:r w:rsidR="00647DFA">
        <w:rPr>
          <w:rFonts w:ascii="Verdana" w:hAnsi="Verdana" w:cs="Arial"/>
          <w:bCs/>
          <w:sz w:val="20"/>
          <w:szCs w:val="20"/>
        </w:rPr>
        <w:t xml:space="preserve"> </w:t>
      </w:r>
      <w:r w:rsidRPr="00647DFA">
        <w:rPr>
          <w:rFonts w:ascii="Verdana" w:hAnsi="Verdana" w:cs="Arial"/>
          <w:bCs/>
          <w:sz w:val="20"/>
          <w:szCs w:val="20"/>
        </w:rPr>
        <w:t xml:space="preserve">nº </w:t>
      </w:r>
      <w:r w:rsidR="00647DFA">
        <w:rPr>
          <w:rFonts w:ascii="Verdana" w:hAnsi="Verdana" w:cs="Arial"/>
          <w:bCs/>
          <w:sz w:val="20"/>
          <w:szCs w:val="20"/>
        </w:rPr>
        <w:t>0</w:t>
      </w:r>
      <w:r w:rsidR="00FB6638">
        <w:rPr>
          <w:rFonts w:ascii="Verdana" w:hAnsi="Verdana" w:cs="Arial"/>
          <w:bCs/>
          <w:sz w:val="20"/>
          <w:szCs w:val="20"/>
        </w:rPr>
        <w:t>70</w:t>
      </w:r>
      <w:r w:rsidRPr="00647DFA">
        <w:rPr>
          <w:rFonts w:ascii="Verdana" w:hAnsi="Verdana" w:cs="Arial"/>
          <w:bCs/>
          <w:sz w:val="20"/>
          <w:szCs w:val="20"/>
        </w:rPr>
        <w:t>/</w:t>
      </w:r>
      <w:r w:rsidR="00647DFA">
        <w:rPr>
          <w:rFonts w:ascii="Verdana" w:hAnsi="Verdana" w:cs="Arial"/>
          <w:bCs/>
          <w:sz w:val="20"/>
          <w:szCs w:val="20"/>
        </w:rPr>
        <w:t>2021</w:t>
      </w:r>
      <w:r w:rsidR="00944BDB">
        <w:rPr>
          <w:rFonts w:ascii="Verdana" w:hAnsi="Verdana" w:cs="Arial"/>
          <w:bCs/>
          <w:sz w:val="20"/>
          <w:szCs w:val="20"/>
        </w:rPr>
        <w:t>,</w:t>
      </w:r>
      <w:r w:rsidRPr="00647DFA">
        <w:rPr>
          <w:rFonts w:ascii="Verdana" w:hAnsi="Verdana" w:cs="Arial"/>
          <w:bCs/>
          <w:sz w:val="20"/>
          <w:szCs w:val="20"/>
        </w:rPr>
        <w:t xml:space="preserve"> que tem por objeto</w:t>
      </w:r>
      <w:r w:rsidR="00647DFA">
        <w:rPr>
          <w:rFonts w:ascii="Verdana" w:hAnsi="Verdana" w:cs="Arial"/>
          <w:bCs/>
          <w:sz w:val="20"/>
          <w:szCs w:val="20"/>
        </w:rPr>
        <w:t xml:space="preserve"> o </w:t>
      </w:r>
      <w:r w:rsidR="00FB6638" w:rsidRPr="00FB6638">
        <w:rPr>
          <w:rFonts w:ascii="Verdana" w:hAnsi="Verdana" w:cs="Arial"/>
          <w:b/>
          <w:bCs/>
          <w:sz w:val="20"/>
          <w:szCs w:val="20"/>
        </w:rPr>
        <w:t>CONTRATAÇÃO DE EMPRESA ESPECIALIZADA PARA PRESTAÇÃO DOS SERVIÇOS AFETOS AOS CEMITÉRIOS MUNICIPAIS, INCLUINDO MANUTENÇÃO E LIMPEZA, COM O FORNECIMENTO DE MÃO DE OBRA, EQUIPAMENTOS, MÁQUINAS, MATERIAIS DE HIGIENE E LIMPEZA, REMOÇÃO E DESTINAÇÃO FINAL DOS RESÍDUOS GERADOS, PELO PERÍODO DE 12 (DOZE) MESES, PODENDO SER ADITADO/PRORROGADO NAS FORMAS DA LEI</w:t>
      </w:r>
      <w:r w:rsidRPr="00647DFA">
        <w:rPr>
          <w:rFonts w:ascii="Verdana" w:hAnsi="Verdana" w:cs="Arial"/>
          <w:b/>
          <w:sz w:val="20"/>
          <w:szCs w:val="20"/>
        </w:rPr>
        <w:t xml:space="preserve">, </w:t>
      </w:r>
      <w:r w:rsidR="00647DFA" w:rsidRPr="00647DFA">
        <w:rPr>
          <w:rFonts w:ascii="Verdana" w:hAnsi="Verdana" w:cs="Arial"/>
          <w:sz w:val="20"/>
          <w:szCs w:val="20"/>
        </w:rPr>
        <w:t>esclarecer</w:t>
      </w:r>
      <w:r w:rsidRPr="00647DFA">
        <w:rPr>
          <w:rFonts w:ascii="Verdana" w:hAnsi="Verdana" w:cs="Arial"/>
          <w:b/>
          <w:sz w:val="20"/>
          <w:szCs w:val="20"/>
        </w:rPr>
        <w:t xml:space="preserve"> </w:t>
      </w:r>
      <w:r w:rsidR="00944BDB">
        <w:rPr>
          <w:rFonts w:ascii="Verdana" w:hAnsi="Verdana" w:cs="Arial"/>
          <w:sz w:val="20"/>
          <w:szCs w:val="20"/>
        </w:rPr>
        <w:t>o</w:t>
      </w:r>
      <w:r w:rsidRPr="00647DFA">
        <w:rPr>
          <w:rFonts w:ascii="Verdana" w:hAnsi="Verdana" w:cs="Arial"/>
          <w:sz w:val="20"/>
          <w:szCs w:val="20"/>
        </w:rPr>
        <w:t xml:space="preserve"> questionamento da empresa</w:t>
      </w:r>
      <w:r w:rsidR="00FB6638">
        <w:rPr>
          <w:rFonts w:ascii="Verdana" w:hAnsi="Verdana" w:cs="Arial"/>
          <w:sz w:val="20"/>
          <w:szCs w:val="20"/>
        </w:rPr>
        <w:t xml:space="preserve"> </w:t>
      </w:r>
      <w:r w:rsidR="003349BE">
        <w:rPr>
          <w:rFonts w:ascii="Verdana" w:hAnsi="Verdana" w:cs="Arial"/>
          <w:sz w:val="20"/>
          <w:szCs w:val="20"/>
        </w:rPr>
        <w:t>Florestana Paisagismo Construções e Serviços LTDA</w:t>
      </w:r>
      <w:r w:rsidRPr="00647DFA">
        <w:rPr>
          <w:rFonts w:ascii="Verdana" w:hAnsi="Verdana"/>
          <w:sz w:val="20"/>
          <w:szCs w:val="20"/>
        </w:rPr>
        <w:t>, conforme segue:</w:t>
      </w:r>
    </w:p>
    <w:p w:rsidR="006572FA" w:rsidRPr="00647DFA" w:rsidRDefault="006572FA" w:rsidP="00C07799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FB6638" w:rsidRDefault="003349BE" w:rsidP="00C07799">
      <w:pPr>
        <w:pStyle w:val="xmsonormal"/>
        <w:spacing w:before="0" w:beforeAutospacing="0" w:after="0" w:afterAutospacing="0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DO </w:t>
      </w:r>
      <w:r w:rsidR="00647DFA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QUEST</w:t>
      </w:r>
      <w:r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IONAMENTO</w:t>
      </w:r>
      <w:r w:rsidR="00A76ABC" w:rsidRPr="00647DFA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:</w:t>
      </w:r>
      <w:r w:rsidR="00A76ABC" w:rsidRPr="00647DFA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="Arial"/>
          <w:bCs/>
          <w:sz w:val="20"/>
          <w:szCs w:val="20"/>
          <w:lang w:eastAsia="en-US"/>
        </w:rPr>
        <w:t>II – MEMORIAL DESCRITIVO</w:t>
      </w:r>
    </w:p>
    <w:p w:rsidR="003349BE" w:rsidRDefault="003349BE" w:rsidP="00C07799">
      <w:pPr>
        <w:pStyle w:val="xmsonormal"/>
        <w:spacing w:before="0" w:beforeAutospacing="0" w:after="0" w:afterAutospacing="0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</w:p>
    <w:p w:rsidR="003349BE" w:rsidRDefault="00B06C4A" w:rsidP="00C07799">
      <w:pPr>
        <w:pStyle w:val="xmsonormal"/>
        <w:spacing w:before="0" w:beforeAutospacing="0" w:after="0" w:afterAutospacing="0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  <w:r>
        <w:rPr>
          <w:rFonts w:ascii="Verdana" w:eastAsiaTheme="minorHAnsi" w:hAnsi="Verdana" w:cs="Arial"/>
          <w:bCs/>
          <w:sz w:val="20"/>
          <w:szCs w:val="20"/>
          <w:lang w:eastAsia="en-US"/>
        </w:rPr>
        <w:t>1</w:t>
      </w:r>
      <w:r w:rsidR="003349BE">
        <w:rPr>
          <w:rFonts w:ascii="Verdana" w:eastAsiaTheme="minorHAnsi" w:hAnsi="Verdana" w:cs="Arial"/>
          <w:bCs/>
          <w:sz w:val="20"/>
          <w:szCs w:val="20"/>
          <w:lang w:eastAsia="en-US"/>
        </w:rPr>
        <w:t>) Em atenção ao item 5. Ajudante Geral, observamos que o preço máximo mensal admitido pela administração para a contratação deste item é de R$ 1.323,59, e conforme determinado no item 08.07.04.</w:t>
      </w:r>
      <w:r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</w:t>
      </w:r>
      <w:r w:rsidR="003349BE">
        <w:rPr>
          <w:rFonts w:ascii="Verdana" w:eastAsiaTheme="minorHAnsi" w:hAnsi="Verdana" w:cs="Arial"/>
          <w:bCs/>
          <w:sz w:val="20"/>
          <w:szCs w:val="20"/>
          <w:lang w:eastAsia="en-US"/>
        </w:rPr>
        <w:t>do edital, a proponente não poderá apresentar valor superior ao estimado no Anexo XIII.</w:t>
      </w:r>
    </w:p>
    <w:p w:rsidR="003349BE" w:rsidRDefault="003349BE" w:rsidP="00C07799">
      <w:pPr>
        <w:pStyle w:val="xmsonormal"/>
        <w:spacing w:before="0" w:beforeAutospacing="0" w:after="0" w:afterAutospacing="0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</w:p>
    <w:p w:rsidR="003349BE" w:rsidRDefault="003349BE" w:rsidP="00C07799">
      <w:pPr>
        <w:pStyle w:val="xmsonormal"/>
        <w:spacing w:before="0" w:beforeAutospacing="0" w:after="0" w:afterAutospacing="0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  <w:r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O Preço deste item está </w:t>
      </w:r>
      <w:r w:rsidRPr="003349BE">
        <w:rPr>
          <w:rFonts w:ascii="Verdana" w:eastAsiaTheme="minorHAnsi" w:hAnsi="Verdana" w:cs="Arial"/>
          <w:b/>
          <w:bCs/>
          <w:sz w:val="20"/>
          <w:szCs w:val="20"/>
          <w:u w:val="single"/>
          <w:lang w:eastAsia="en-US"/>
        </w:rPr>
        <w:t>inexequível</w:t>
      </w:r>
      <w:r>
        <w:rPr>
          <w:rFonts w:ascii="Verdana" w:eastAsiaTheme="minorHAnsi" w:hAnsi="Verdana" w:cs="Arial"/>
          <w:b/>
          <w:bCs/>
          <w:sz w:val="20"/>
          <w:szCs w:val="20"/>
          <w:u w:val="single"/>
          <w:lang w:eastAsia="en-US"/>
        </w:rPr>
        <w:t>,</w:t>
      </w:r>
      <w:r w:rsidRPr="003349BE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="Arial"/>
          <w:bCs/>
          <w:sz w:val="20"/>
          <w:szCs w:val="20"/>
          <w:lang w:eastAsia="en-US"/>
        </w:rPr>
        <w:t>uma vez que</w:t>
      </w:r>
      <w:r w:rsidR="00B06C4A">
        <w:rPr>
          <w:rFonts w:ascii="Verdana" w:eastAsiaTheme="minorHAnsi" w:hAnsi="Verdana" w:cs="Arial"/>
          <w:bCs/>
          <w:sz w:val="20"/>
          <w:szCs w:val="20"/>
          <w:lang w:eastAsia="en-US"/>
        </w:rPr>
        <w:t>,</w:t>
      </w:r>
      <w:r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não está computa</w:t>
      </w:r>
      <w:r w:rsidR="00B06C4A">
        <w:rPr>
          <w:rFonts w:ascii="Verdana" w:eastAsiaTheme="minorHAnsi" w:hAnsi="Verdana" w:cs="Arial"/>
          <w:bCs/>
          <w:sz w:val="20"/>
          <w:szCs w:val="20"/>
          <w:lang w:eastAsia="en-US"/>
        </w:rPr>
        <w:t>n</w:t>
      </w:r>
      <w:r>
        <w:rPr>
          <w:rFonts w:ascii="Verdana" w:eastAsiaTheme="minorHAnsi" w:hAnsi="Verdana" w:cs="Arial"/>
          <w:bCs/>
          <w:sz w:val="20"/>
          <w:szCs w:val="20"/>
          <w:lang w:eastAsia="en-US"/>
        </w:rPr>
        <w:t>do todas as despesas, tais como: Mão-de-Obra: Salários e Adicionais Direitos, Encargos Sociais e Trabalhistas, BDI, seguro vida coletivo, Benefícios e custos de convenção coletiva, Equipamentos, Encargos para Gratifica</w:t>
      </w:r>
      <w:r w:rsidR="00B06C4A">
        <w:rPr>
          <w:rFonts w:ascii="Verdana" w:eastAsiaTheme="minorHAnsi" w:hAnsi="Verdana" w:cs="Arial"/>
          <w:bCs/>
          <w:sz w:val="20"/>
          <w:szCs w:val="20"/>
          <w:lang w:eastAsia="en-US"/>
        </w:rPr>
        <w:t>ções, encargos para reposição do</w:t>
      </w:r>
      <w:r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profissional ausente, encargos para indenização trabalhista, insalubridade em grau máximo, uniformes, EPIs, transporte, alimentação, convênio médico, seguro pessoal, bem como ferramentas, ETC..., e demais encargos inerentes ao sindicato da categoria. Entendemos que </w:t>
      </w:r>
      <w:r w:rsidR="00B06C4A">
        <w:rPr>
          <w:rFonts w:ascii="Verdana" w:eastAsiaTheme="minorHAnsi" w:hAnsi="Verdana" w:cs="Arial"/>
          <w:bCs/>
          <w:sz w:val="20"/>
          <w:szCs w:val="20"/>
          <w:lang w:eastAsia="en-US"/>
        </w:rPr>
        <w:t>a administração deverá retificar o instrumento convocatório para reformulação do preço referencial. Está correto nosso entendimento?</w:t>
      </w:r>
    </w:p>
    <w:p w:rsidR="003349BE" w:rsidRDefault="003349BE" w:rsidP="00C07799">
      <w:pPr>
        <w:pStyle w:val="xmsonormal"/>
        <w:spacing w:before="0" w:beforeAutospacing="0" w:after="0" w:afterAutospacing="0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</w:p>
    <w:p w:rsidR="00024B6B" w:rsidRDefault="00944BDB" w:rsidP="00C07799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ESCLARECIMENTO</w:t>
      </w:r>
      <w:r w:rsidR="00A76ABC" w:rsidRPr="00647DFA">
        <w:rPr>
          <w:rFonts w:ascii="Verdana" w:hAnsi="Verdana"/>
          <w:b/>
          <w:sz w:val="20"/>
          <w:szCs w:val="20"/>
        </w:rPr>
        <w:t xml:space="preserve">: </w:t>
      </w:r>
      <w:r w:rsidR="00A76ABC" w:rsidRPr="00647DFA">
        <w:rPr>
          <w:rFonts w:ascii="Verdana" w:hAnsi="Verdana"/>
          <w:sz w:val="20"/>
          <w:szCs w:val="20"/>
        </w:rPr>
        <w:t xml:space="preserve">Em consulta à </w:t>
      </w:r>
      <w:r w:rsidR="00647DFA">
        <w:rPr>
          <w:rFonts w:ascii="Verdana" w:hAnsi="Verdana"/>
          <w:sz w:val="20"/>
          <w:szCs w:val="20"/>
        </w:rPr>
        <w:t xml:space="preserve">Secretaria Municipal de </w:t>
      </w:r>
      <w:r w:rsidR="00FB6638">
        <w:rPr>
          <w:rFonts w:ascii="Verdana" w:hAnsi="Verdana"/>
          <w:sz w:val="20"/>
          <w:szCs w:val="20"/>
        </w:rPr>
        <w:t>Obras e Serviços Públicos</w:t>
      </w:r>
      <w:r w:rsidR="00647DFA">
        <w:rPr>
          <w:rFonts w:ascii="Verdana" w:hAnsi="Verdana"/>
          <w:sz w:val="20"/>
          <w:szCs w:val="20"/>
        </w:rPr>
        <w:t>, segue a</w:t>
      </w:r>
      <w:r w:rsidR="00A76ABC" w:rsidRPr="00647DFA">
        <w:rPr>
          <w:rFonts w:ascii="Verdana" w:hAnsi="Verdana"/>
          <w:sz w:val="20"/>
          <w:szCs w:val="20"/>
        </w:rPr>
        <w:t xml:space="preserve"> resposta</w:t>
      </w:r>
      <w:r>
        <w:rPr>
          <w:rFonts w:ascii="Verdana" w:hAnsi="Verdana"/>
          <w:sz w:val="20"/>
          <w:szCs w:val="20"/>
        </w:rPr>
        <w:t xml:space="preserve"> do esclarecimento</w:t>
      </w:r>
      <w:r w:rsidR="00A76ABC" w:rsidRPr="00647DFA">
        <w:rPr>
          <w:rFonts w:ascii="Verdana" w:hAnsi="Verdana"/>
          <w:sz w:val="20"/>
          <w:szCs w:val="20"/>
        </w:rPr>
        <w:t>:</w:t>
      </w:r>
    </w:p>
    <w:p w:rsidR="006572FA" w:rsidRDefault="006572FA" w:rsidP="00C07799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7438C" w:rsidRDefault="00FB6638" w:rsidP="00C07799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1-) </w:t>
      </w:r>
      <w:r w:rsidR="00644246">
        <w:rPr>
          <w:rFonts w:ascii="Verdana" w:hAnsi="Verdana"/>
          <w:sz w:val="20"/>
          <w:szCs w:val="20"/>
        </w:rPr>
        <w:t xml:space="preserve">O entendimento está </w:t>
      </w:r>
      <w:r w:rsidR="00644246" w:rsidRPr="00C07799">
        <w:rPr>
          <w:rFonts w:ascii="Verdana" w:hAnsi="Verdana"/>
          <w:b/>
          <w:sz w:val="20"/>
          <w:szCs w:val="20"/>
        </w:rPr>
        <w:t>INCORRETO</w:t>
      </w:r>
      <w:r w:rsidR="00644246">
        <w:rPr>
          <w:rFonts w:ascii="Verdana" w:hAnsi="Verdana"/>
          <w:sz w:val="20"/>
          <w:szCs w:val="20"/>
        </w:rPr>
        <w:t xml:space="preserve">. </w:t>
      </w:r>
      <w:r w:rsidR="0077438C">
        <w:rPr>
          <w:rFonts w:ascii="Verdana" w:hAnsi="Verdana"/>
          <w:sz w:val="20"/>
          <w:szCs w:val="20"/>
        </w:rPr>
        <w:t xml:space="preserve">O Município está apenas contratando a prestação de serviços e não o profissional. </w:t>
      </w:r>
      <w:r w:rsidR="006572FA">
        <w:rPr>
          <w:rFonts w:ascii="Verdana" w:hAnsi="Verdana"/>
          <w:sz w:val="20"/>
          <w:szCs w:val="20"/>
        </w:rPr>
        <w:t>Questões relativas as responsabilidades trabalhistas são pertinentes as próprias empresas.</w:t>
      </w:r>
    </w:p>
    <w:p w:rsidR="00E8390F" w:rsidRDefault="00E8390F" w:rsidP="00C07799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E8390F" w:rsidRDefault="006B6984" w:rsidP="00C07799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Pr="006B6984">
        <w:rPr>
          <w:rFonts w:ascii="Verdana" w:hAnsi="Verdana"/>
          <w:sz w:val="20"/>
          <w:szCs w:val="20"/>
        </w:rPr>
        <w:t xml:space="preserve">ntendemos que por não haver previsão editalícia de um </w:t>
      </w:r>
      <w:r>
        <w:rPr>
          <w:rFonts w:ascii="Verdana" w:hAnsi="Verdana"/>
          <w:sz w:val="20"/>
          <w:szCs w:val="20"/>
        </w:rPr>
        <w:t>Ajudante Geral</w:t>
      </w:r>
      <w:r w:rsidRPr="006B6984">
        <w:rPr>
          <w:rFonts w:ascii="Verdana" w:hAnsi="Verdana"/>
          <w:sz w:val="20"/>
          <w:szCs w:val="20"/>
        </w:rPr>
        <w:t xml:space="preserve"> disponível exclusivamente para contratação em tela, sendo os serviços executados conforme demanda, poderá a contratada executar com seu corpo técnico disponível, cabendo à ela a responsabilidade pela qualidade dos serviços executados, bem como a responsabilidade pelo cumprimento das normas técnicas e legislação trabalhista, assim não há como referenciar o custo unitário ao piso salarial de uma categoria visto que a empresa pode utilizar seu corpo técnico</w:t>
      </w:r>
      <w:r>
        <w:rPr>
          <w:rFonts w:ascii="Verdana" w:hAnsi="Verdana"/>
          <w:sz w:val="20"/>
          <w:szCs w:val="20"/>
        </w:rPr>
        <w:t>,</w:t>
      </w:r>
      <w:r w:rsidRPr="006B6984">
        <w:rPr>
          <w:rFonts w:ascii="Verdana" w:hAnsi="Verdana"/>
          <w:sz w:val="20"/>
          <w:szCs w:val="20"/>
        </w:rPr>
        <w:t xml:space="preserve"> ora em uma serviço/obra</w:t>
      </w:r>
      <w:r>
        <w:rPr>
          <w:rFonts w:ascii="Verdana" w:hAnsi="Verdana"/>
          <w:sz w:val="20"/>
          <w:szCs w:val="20"/>
        </w:rPr>
        <w:t>,</w:t>
      </w:r>
      <w:r w:rsidRPr="006B6984">
        <w:rPr>
          <w:rFonts w:ascii="Verdana" w:hAnsi="Verdana"/>
          <w:sz w:val="20"/>
          <w:szCs w:val="20"/>
        </w:rPr>
        <w:t xml:space="preserve"> ora em outro, cabendo à ela quantificar seu custo/preço unitário.</w:t>
      </w:r>
    </w:p>
    <w:p w:rsidR="00C07799" w:rsidRDefault="00C07799" w:rsidP="00C07799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44246" w:rsidRDefault="006B6984" w:rsidP="00C07799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B6984">
        <w:rPr>
          <w:rFonts w:ascii="Verdana" w:hAnsi="Verdana"/>
          <w:sz w:val="20"/>
          <w:szCs w:val="20"/>
        </w:rPr>
        <w:t>Portanto, a inexequibilidade de valores previstas no art. 48 da Lei n.º 8.666/1993 não tem o estatuto de uma presunção absoluta, se o particular comprovar que a sua proposta é exequível, não se lhe poderá interditar o exercício do direito de apresentá-la.</w:t>
      </w:r>
    </w:p>
    <w:p w:rsidR="00C07799" w:rsidRDefault="00C07799" w:rsidP="00C07799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07799" w:rsidRDefault="00C07799" w:rsidP="00C07799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07799">
        <w:rPr>
          <w:rFonts w:ascii="Verdana" w:hAnsi="Verdana"/>
          <w:sz w:val="20"/>
          <w:szCs w:val="20"/>
        </w:rPr>
        <w:t>“Súmula 262 – TCU: O critério definido no art. 48, inciso II, § 1º alíneas a e b, da Lei n.º 8.666/1993 conduz a uma presunção relativa de inexequibilidade de preços devendo a Administração dar à licitante a oportunidade de demonstrar a exequibilidade da proposta.”</w:t>
      </w:r>
    </w:p>
    <w:p w:rsidR="00C07799" w:rsidRDefault="00C07799" w:rsidP="00C07799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77438C" w:rsidRDefault="009F47DB" w:rsidP="00C07799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6B6984" w:rsidRPr="006B6984">
        <w:rPr>
          <w:rFonts w:ascii="Verdana" w:hAnsi="Verdana"/>
          <w:sz w:val="20"/>
          <w:szCs w:val="20"/>
        </w:rPr>
        <w:t xml:space="preserve"> esclarecimento é</w:t>
      </w:r>
      <w:r w:rsidR="00644246">
        <w:rPr>
          <w:rFonts w:ascii="Verdana" w:hAnsi="Verdana"/>
          <w:sz w:val="20"/>
          <w:szCs w:val="20"/>
        </w:rPr>
        <w:t xml:space="preserve"> taxativo ao dizer que o item 05. Ajudante Gera,</w:t>
      </w:r>
      <w:r w:rsidR="006B6984" w:rsidRPr="006B6984">
        <w:rPr>
          <w:rFonts w:ascii="Verdana" w:hAnsi="Verdana"/>
          <w:sz w:val="20"/>
          <w:szCs w:val="20"/>
        </w:rPr>
        <w:t xml:space="preserve"> da planilha</w:t>
      </w:r>
      <w:r w:rsidR="00644246">
        <w:rPr>
          <w:rFonts w:ascii="Verdana" w:hAnsi="Verdana"/>
          <w:sz w:val="20"/>
          <w:szCs w:val="20"/>
        </w:rPr>
        <w:t xml:space="preserve"> Anexo XIII – Memorial Descritivo,</w:t>
      </w:r>
      <w:r w:rsidR="006B6984" w:rsidRPr="006B6984">
        <w:rPr>
          <w:rFonts w:ascii="Verdana" w:hAnsi="Verdana"/>
          <w:sz w:val="20"/>
          <w:szCs w:val="20"/>
        </w:rPr>
        <w:t xml:space="preserve"> não se refere especificamente a salário, mas a serviço executado em relação ao objeto da licitação</w:t>
      </w:r>
      <w:r w:rsidR="00C07799">
        <w:rPr>
          <w:rFonts w:ascii="Verdana" w:hAnsi="Verdana"/>
          <w:sz w:val="20"/>
          <w:szCs w:val="20"/>
        </w:rPr>
        <w:t>.</w:t>
      </w:r>
    </w:p>
    <w:p w:rsidR="00C07799" w:rsidRDefault="00C07799" w:rsidP="00C07799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A76ABC" w:rsidRDefault="00A76ABC" w:rsidP="00C07799">
      <w:pPr>
        <w:pStyle w:val="xmsonormal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647DFA">
        <w:rPr>
          <w:rFonts w:ascii="Verdana" w:hAnsi="Verdana"/>
          <w:sz w:val="20"/>
          <w:szCs w:val="20"/>
        </w:rPr>
        <w:t>Era o que tínhamos a esclarecer.</w:t>
      </w:r>
    </w:p>
    <w:p w:rsidR="006572FA" w:rsidRPr="00647DFA" w:rsidRDefault="006572FA" w:rsidP="00C07799">
      <w:pPr>
        <w:pStyle w:val="xmsonormal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47DFA" w:rsidRDefault="00647DFA" w:rsidP="00C07799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647DFA">
        <w:rPr>
          <w:rFonts w:ascii="Verdana" w:hAnsi="Verdana" w:cs="Arial"/>
          <w:bCs/>
          <w:sz w:val="20"/>
          <w:szCs w:val="20"/>
        </w:rPr>
        <w:t xml:space="preserve">Araraquara, </w:t>
      </w:r>
      <w:r w:rsidR="006B6984">
        <w:rPr>
          <w:rFonts w:ascii="Verdana" w:hAnsi="Verdana" w:cs="Arial"/>
          <w:bCs/>
          <w:sz w:val="20"/>
          <w:szCs w:val="20"/>
        </w:rPr>
        <w:t>03</w:t>
      </w:r>
      <w:r w:rsidRPr="00647DFA">
        <w:rPr>
          <w:rFonts w:ascii="Verdana" w:hAnsi="Verdana" w:cs="Arial"/>
          <w:bCs/>
          <w:sz w:val="20"/>
          <w:szCs w:val="20"/>
        </w:rPr>
        <w:t xml:space="preserve"> de </w:t>
      </w:r>
      <w:r w:rsidR="006B6984">
        <w:rPr>
          <w:rFonts w:ascii="Verdana" w:hAnsi="Verdana" w:cs="Arial"/>
          <w:bCs/>
          <w:sz w:val="20"/>
          <w:szCs w:val="20"/>
        </w:rPr>
        <w:t>Agosto</w:t>
      </w:r>
      <w:r w:rsidR="00944BDB">
        <w:rPr>
          <w:rFonts w:ascii="Verdana" w:hAnsi="Verdana" w:cs="Arial"/>
          <w:bCs/>
          <w:sz w:val="20"/>
          <w:szCs w:val="20"/>
        </w:rPr>
        <w:t xml:space="preserve"> de 2021</w:t>
      </w:r>
      <w:r w:rsidRPr="00647DFA">
        <w:rPr>
          <w:rFonts w:ascii="Verdana" w:hAnsi="Verdana" w:cs="Arial"/>
          <w:bCs/>
          <w:sz w:val="20"/>
          <w:szCs w:val="20"/>
        </w:rPr>
        <w:t>.</w:t>
      </w:r>
    </w:p>
    <w:p w:rsidR="00C07799" w:rsidRDefault="00C07799" w:rsidP="00C07799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bookmarkStart w:id="0" w:name="_GoBack"/>
      <w:bookmarkEnd w:id="0"/>
    </w:p>
    <w:p w:rsidR="00C07799" w:rsidRPr="00647DFA" w:rsidRDefault="00C07799" w:rsidP="00C07799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</w:p>
    <w:p w:rsidR="00A76ABC" w:rsidRPr="00647DFA" w:rsidRDefault="00A76ABC" w:rsidP="00C07799">
      <w:pPr>
        <w:pStyle w:val="xmsonormal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A76ABC" w:rsidRPr="00647DFA" w:rsidRDefault="00647DFA" w:rsidP="00C07799">
      <w:pPr>
        <w:pStyle w:val="xmsonormal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647DFA">
        <w:rPr>
          <w:rFonts w:ascii="Verdana" w:hAnsi="Verdana"/>
          <w:b/>
          <w:sz w:val="20"/>
          <w:szCs w:val="20"/>
        </w:rPr>
        <w:t>JAQUELI</w:t>
      </w:r>
      <w:r w:rsidR="00944BDB">
        <w:rPr>
          <w:rFonts w:ascii="Verdana" w:hAnsi="Verdana"/>
          <w:b/>
          <w:sz w:val="20"/>
          <w:szCs w:val="20"/>
        </w:rPr>
        <w:t>N</w:t>
      </w:r>
      <w:r w:rsidRPr="00647DFA">
        <w:rPr>
          <w:rFonts w:ascii="Verdana" w:hAnsi="Verdana"/>
          <w:b/>
          <w:sz w:val="20"/>
          <w:szCs w:val="20"/>
        </w:rPr>
        <w:t>E HELENA SALES</w:t>
      </w:r>
    </w:p>
    <w:p w:rsidR="00EC6F3F" w:rsidRPr="00647DFA" w:rsidRDefault="00647DFA" w:rsidP="00C07799">
      <w:pPr>
        <w:pStyle w:val="xmsonormal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647DFA">
        <w:rPr>
          <w:rFonts w:ascii="Verdana" w:hAnsi="Verdana"/>
          <w:sz w:val="20"/>
          <w:szCs w:val="20"/>
        </w:rPr>
        <w:t>Pregoeira</w:t>
      </w:r>
    </w:p>
    <w:sectPr w:rsidR="00EC6F3F" w:rsidRPr="00647DFA" w:rsidSect="006572FA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BC" w:rsidRDefault="00A76ABC" w:rsidP="00A76ABC">
      <w:pPr>
        <w:spacing w:after="0" w:line="240" w:lineRule="auto"/>
      </w:pPr>
      <w:r>
        <w:separator/>
      </w:r>
    </w:p>
  </w:endnote>
  <w:endnote w:type="continuationSeparator" w:id="0">
    <w:p w:rsidR="00A76ABC" w:rsidRDefault="00A76ABC" w:rsidP="00A7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BC" w:rsidRDefault="00A76ABC" w:rsidP="00A76ABC">
      <w:pPr>
        <w:spacing w:after="0" w:line="240" w:lineRule="auto"/>
      </w:pPr>
      <w:r>
        <w:separator/>
      </w:r>
    </w:p>
  </w:footnote>
  <w:footnote w:type="continuationSeparator" w:id="0">
    <w:p w:rsidR="00A76ABC" w:rsidRDefault="00A76ABC" w:rsidP="00A7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6B"/>
    <w:rsid w:val="00024B6B"/>
    <w:rsid w:val="001A5FBA"/>
    <w:rsid w:val="003349BE"/>
    <w:rsid w:val="0035770E"/>
    <w:rsid w:val="0044766C"/>
    <w:rsid w:val="00503670"/>
    <w:rsid w:val="00644246"/>
    <w:rsid w:val="00647DFA"/>
    <w:rsid w:val="006572FA"/>
    <w:rsid w:val="006B6984"/>
    <w:rsid w:val="0077438C"/>
    <w:rsid w:val="007F4DC7"/>
    <w:rsid w:val="00944BDB"/>
    <w:rsid w:val="009F47DB"/>
    <w:rsid w:val="00A76ABC"/>
    <w:rsid w:val="00B06C4A"/>
    <w:rsid w:val="00C07799"/>
    <w:rsid w:val="00E8390F"/>
    <w:rsid w:val="00EC6F3F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24952-C714-4898-A053-25AA82E4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A76A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43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2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76ABC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A76ABC"/>
    <w:rPr>
      <w:b/>
    </w:rPr>
  </w:style>
  <w:style w:type="paragraph" w:styleId="Cabealho">
    <w:name w:val="header"/>
    <w:basedOn w:val="Normal"/>
    <w:link w:val="CabealhoChar"/>
    <w:uiPriority w:val="99"/>
    <w:unhideWhenUsed/>
    <w:rsid w:val="00A76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ABC"/>
  </w:style>
  <w:style w:type="paragraph" w:styleId="Rodap">
    <w:name w:val="footer"/>
    <w:basedOn w:val="Normal"/>
    <w:link w:val="RodapChar"/>
    <w:uiPriority w:val="99"/>
    <w:unhideWhenUsed/>
    <w:rsid w:val="00A76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ABC"/>
  </w:style>
  <w:style w:type="paragraph" w:styleId="Legenda">
    <w:name w:val="caption"/>
    <w:basedOn w:val="Normal"/>
    <w:next w:val="Normal"/>
    <w:qFormat/>
    <w:rsid w:val="00A76ABC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FBA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438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255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627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8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1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96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88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11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Wilson Roberto Ferreira Luiz Junior</cp:lastModifiedBy>
  <cp:revision>10</cp:revision>
  <cp:lastPrinted>2021-08-03T19:39:00Z</cp:lastPrinted>
  <dcterms:created xsi:type="dcterms:W3CDTF">2020-12-21T14:43:00Z</dcterms:created>
  <dcterms:modified xsi:type="dcterms:W3CDTF">2021-08-03T20:15:00Z</dcterms:modified>
</cp:coreProperties>
</file>