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B4" w:rsidRPr="009415B4" w:rsidRDefault="009415B4" w:rsidP="009415B4">
      <w:pPr>
        <w:shd w:val="clear" w:color="auto" w:fill="D9D9D9" w:themeFill="background1" w:themeFillShade="D9"/>
        <w:spacing w:after="0" w:line="240" w:lineRule="auto"/>
        <w:jc w:val="center"/>
        <w:rPr>
          <w:rFonts w:ascii="Verdana" w:hAnsi="Verdana"/>
          <w:b/>
          <w:i/>
          <w:sz w:val="40"/>
          <w:szCs w:val="40"/>
        </w:rPr>
      </w:pPr>
      <w:r w:rsidRPr="009415B4">
        <w:rPr>
          <w:rFonts w:ascii="Verdana" w:hAnsi="Verdana"/>
          <w:b/>
          <w:i/>
          <w:sz w:val="40"/>
          <w:szCs w:val="40"/>
        </w:rPr>
        <w:t>COMUNICADO</w:t>
      </w:r>
    </w:p>
    <w:p w:rsidR="009415B4" w:rsidRDefault="009415B4" w:rsidP="0073426E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73426E" w:rsidRPr="0073426E" w:rsidRDefault="0073426E" w:rsidP="0073426E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73426E">
        <w:rPr>
          <w:rFonts w:ascii="Verdana" w:hAnsi="Verdana"/>
          <w:b/>
          <w:sz w:val="18"/>
          <w:szCs w:val="18"/>
        </w:rPr>
        <w:t>“EDITAL DE PREGÃO PRESENCIAL n° 008/2021”</w:t>
      </w:r>
    </w:p>
    <w:p w:rsidR="0073426E" w:rsidRPr="0073426E" w:rsidRDefault="0073426E" w:rsidP="0073426E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73426E">
        <w:rPr>
          <w:rFonts w:ascii="Verdana" w:hAnsi="Verdana"/>
          <w:b/>
          <w:sz w:val="18"/>
          <w:szCs w:val="18"/>
        </w:rPr>
        <w:t xml:space="preserve">“DE: 30 de </w:t>
      </w:r>
      <w:proofErr w:type="gramStart"/>
      <w:r w:rsidRPr="0073426E">
        <w:rPr>
          <w:rFonts w:ascii="Verdana" w:hAnsi="Verdana"/>
          <w:b/>
          <w:sz w:val="18"/>
          <w:szCs w:val="18"/>
        </w:rPr>
        <w:t>ABRIL</w:t>
      </w:r>
      <w:proofErr w:type="gramEnd"/>
      <w:r w:rsidRPr="0073426E">
        <w:rPr>
          <w:rFonts w:ascii="Verdana" w:hAnsi="Verdana"/>
          <w:b/>
          <w:sz w:val="18"/>
          <w:szCs w:val="18"/>
        </w:rPr>
        <w:t xml:space="preserve"> de 2021”</w:t>
      </w:r>
    </w:p>
    <w:p w:rsidR="0073426E" w:rsidRPr="0073426E" w:rsidRDefault="0073426E" w:rsidP="0073426E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73426E">
        <w:rPr>
          <w:rFonts w:ascii="Verdana" w:hAnsi="Verdana"/>
          <w:b/>
          <w:sz w:val="18"/>
          <w:szCs w:val="18"/>
        </w:rPr>
        <w:t xml:space="preserve">TIPO: MENOR PREÇO GLOBAL DO LOTE </w:t>
      </w:r>
    </w:p>
    <w:p w:rsidR="004400F8" w:rsidRPr="0073426E" w:rsidRDefault="004400F8" w:rsidP="004400F8">
      <w:pPr>
        <w:pStyle w:val="NormalWeb"/>
        <w:jc w:val="both"/>
        <w:rPr>
          <w:rFonts w:ascii="Verdana" w:hAnsi="Verdana"/>
          <w:sz w:val="18"/>
          <w:szCs w:val="18"/>
        </w:rPr>
      </w:pPr>
    </w:p>
    <w:p w:rsidR="0073426E" w:rsidRDefault="0073426E" w:rsidP="0073426E">
      <w:pPr>
        <w:pStyle w:val="NormalWeb"/>
        <w:jc w:val="right"/>
        <w:rPr>
          <w:rFonts w:ascii="Verdana" w:hAnsi="Verdana"/>
          <w:sz w:val="18"/>
          <w:szCs w:val="18"/>
        </w:rPr>
      </w:pPr>
      <w:r w:rsidRPr="0073426E">
        <w:rPr>
          <w:rFonts w:ascii="Verdana" w:hAnsi="Verdana"/>
          <w:sz w:val="18"/>
          <w:szCs w:val="18"/>
        </w:rPr>
        <w:t xml:space="preserve">Araraquara, </w:t>
      </w:r>
      <w:r>
        <w:rPr>
          <w:rFonts w:ascii="Verdana" w:hAnsi="Verdana"/>
          <w:sz w:val="18"/>
          <w:szCs w:val="18"/>
        </w:rPr>
        <w:t>20 de maio de 2021.</w:t>
      </w:r>
    </w:p>
    <w:p w:rsidR="0073426E" w:rsidRDefault="0073426E" w:rsidP="0073426E">
      <w:pPr>
        <w:pStyle w:val="NormalWeb"/>
        <w:jc w:val="right"/>
        <w:rPr>
          <w:rFonts w:ascii="Verdana" w:hAnsi="Verdana"/>
          <w:sz w:val="18"/>
          <w:szCs w:val="18"/>
        </w:rPr>
      </w:pPr>
    </w:p>
    <w:p w:rsidR="0073426E" w:rsidRDefault="0073426E" w:rsidP="0073426E">
      <w:pPr>
        <w:pStyle w:val="NormalWeb"/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Vimos, através deste, em relação ao presente pregão presencial, cujo objeto é </w:t>
      </w:r>
      <w:r w:rsidRPr="0073426E">
        <w:rPr>
          <w:rFonts w:ascii="Verdana" w:hAnsi="Verdana"/>
          <w:sz w:val="18"/>
          <w:szCs w:val="18"/>
        </w:rPr>
        <w:t>CONTRATAÇÃO DE EMPRESA ESPECIALIZADA NA PRESTAÇÃO DE SERVIÇOS DE PORTARIA E VIGILÂNCIA DESARMADA MOTORIZADA, NO CENTRALIZADO MUNICIPAL E ALMOXARIFADO CENTRAL DA PREFEITURA DO MUNICÍPIO DE ARARAQUARA, CONFORME DESCRITO NO TERMO DE REFERÊNCIA, E DEMAIS ANEXOS QUE FAZEM PARTE INTEGRANTE DO PRESENTE PROCESSO POR UM PERÍODO DE 12 (DOZE) MESES, PODENDO SER PRORROGADO E/OU ADITADO NOS TERMOS DA LEGISLAÇÃO EM VIGOR</w:t>
      </w:r>
      <w:r>
        <w:rPr>
          <w:rFonts w:ascii="Verdana" w:hAnsi="Verdana"/>
          <w:sz w:val="18"/>
          <w:szCs w:val="18"/>
        </w:rPr>
        <w:t>, expor o que segue</w:t>
      </w:r>
      <w:r w:rsidR="002C2809">
        <w:rPr>
          <w:rFonts w:ascii="Verdana" w:hAnsi="Verdana"/>
          <w:sz w:val="18"/>
          <w:szCs w:val="18"/>
        </w:rPr>
        <w:t xml:space="preserve"> em relação à manifestação de recurso administrativo da empresa BARBO SEGURANÇA EIRELI.</w:t>
      </w:r>
    </w:p>
    <w:p w:rsidR="002C2809" w:rsidRPr="002C2809" w:rsidRDefault="0073426E" w:rsidP="002C2809">
      <w:pPr>
        <w:pStyle w:val="NormalWeb"/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fato, quando da abertura do presente certame, o Pregoeiro e sua Equipe de Apoio decidiram que a empresa BARBO SEGURANÇA EIRELI seria desclassificada do lote 01, tendo em vista que suas atividades são exclusivas para vigilância, sendo distintas </w:t>
      </w:r>
      <w:r w:rsidR="002C2809">
        <w:rPr>
          <w:rFonts w:ascii="Verdana" w:hAnsi="Verdana"/>
          <w:sz w:val="18"/>
          <w:szCs w:val="18"/>
        </w:rPr>
        <w:t xml:space="preserve">da atividade de portaria, pois esta última </w:t>
      </w:r>
      <w:r w:rsidR="002C2809" w:rsidRPr="002C2809">
        <w:rPr>
          <w:rFonts w:ascii="Verdana" w:hAnsi="Verdana"/>
          <w:sz w:val="18"/>
          <w:szCs w:val="18"/>
        </w:rPr>
        <w:t>não é regulamentada por Lei. Já o vigilante é uma atividade regulamentada pela Lei 7.102, de 20 de junho de 1983 e pela PORTARIA 3.233/2012 – Diretoria Geral/Departamento Polícia Federal, de 10 de dezembro de 2012, que prevê em sua Subseção VI, da Atividade:</w:t>
      </w:r>
    </w:p>
    <w:p w:rsidR="002C2809" w:rsidRPr="004D3EE4" w:rsidRDefault="002C2809" w:rsidP="004D3EE4">
      <w:pPr>
        <w:pStyle w:val="NormalWeb"/>
        <w:ind w:left="1560"/>
        <w:jc w:val="both"/>
        <w:rPr>
          <w:rFonts w:ascii="Verdana" w:hAnsi="Verdana"/>
          <w:i/>
          <w:sz w:val="18"/>
          <w:szCs w:val="18"/>
        </w:rPr>
      </w:pPr>
      <w:r w:rsidRPr="004D3EE4">
        <w:rPr>
          <w:rFonts w:ascii="Verdana" w:hAnsi="Verdana"/>
          <w:i/>
          <w:sz w:val="18"/>
          <w:szCs w:val="18"/>
        </w:rPr>
        <w:t>“Art. 17. As empresas de vigilância patrimonial não poderão desenvolver atividades econômicas diversas das que estejam autorizadas. ”</w:t>
      </w:r>
    </w:p>
    <w:p w:rsidR="0073426E" w:rsidRDefault="002C2809" w:rsidP="002C2809">
      <w:pPr>
        <w:pStyle w:val="NormalWeb"/>
        <w:ind w:firstLine="1134"/>
        <w:jc w:val="both"/>
        <w:rPr>
          <w:rFonts w:ascii="Verdana" w:hAnsi="Verdana"/>
          <w:sz w:val="18"/>
          <w:szCs w:val="18"/>
        </w:rPr>
      </w:pPr>
      <w:r w:rsidRPr="002C2809">
        <w:rPr>
          <w:rFonts w:ascii="Verdana" w:hAnsi="Verdana"/>
          <w:sz w:val="18"/>
          <w:szCs w:val="18"/>
        </w:rPr>
        <w:t xml:space="preserve">Em conclusão, o porteiro e o vigilante possuem características específicas que diferenciam as duas funções.  </w:t>
      </w:r>
    </w:p>
    <w:p w:rsidR="002C2809" w:rsidRDefault="002C2809" w:rsidP="002C2809">
      <w:pPr>
        <w:pStyle w:val="NormalWeb"/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empresa BARBO SEGURANÇA EIRELI também foi inabilitada no lote 02, pois apresentou atestados de Capacidade Técnica, contrato social, balanço patrimonial, Certidão de Débitos Municipais Mobiliários sem autenticação e não apresentou os índices financeiros desatendendo o item 10.04 e os subitens 10.04.01 e 10.04.02.</w:t>
      </w:r>
    </w:p>
    <w:p w:rsidR="002C2809" w:rsidRDefault="002C2809" w:rsidP="002C2809">
      <w:pPr>
        <w:pStyle w:val="NormalWeb"/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Ao final da sessão, a empresa manifestou intenção de recurso alegando que:</w:t>
      </w:r>
    </w:p>
    <w:p w:rsidR="002C2809" w:rsidRDefault="002C2809" w:rsidP="002C2809">
      <w:pPr>
        <w:pStyle w:val="NormalWeb"/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 relação ao Lote 01, o Pregoeiro classificou as demais empresas</w:t>
      </w:r>
      <w:r w:rsidR="00045600">
        <w:rPr>
          <w:rFonts w:ascii="Verdana" w:hAnsi="Verdana"/>
          <w:sz w:val="18"/>
          <w:szCs w:val="18"/>
        </w:rPr>
        <w:t>, sendo que as mesmas não são credenciadas no órgão exigido no item 10.10, 10.11 e 10.12.</w:t>
      </w:r>
    </w:p>
    <w:p w:rsidR="00045600" w:rsidRDefault="00045600" w:rsidP="002C2809">
      <w:pPr>
        <w:pStyle w:val="NormalWeb"/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 tocante ao Lote 02, alega que o Pregoeiro a desclassificou alegando que seus atestados de Capacidade Técnica, contrato social, balanço patrimonial, Certidão de Débitos Municipais Mobiliários sem autenticação</w:t>
      </w:r>
      <w:r w:rsidR="00865E26">
        <w:rPr>
          <w:rFonts w:ascii="Verdana" w:hAnsi="Verdana"/>
          <w:sz w:val="18"/>
          <w:szCs w:val="18"/>
        </w:rPr>
        <w:t>. Porém, aduz que o edital não obriga a autenticação, desde a entrada em vigor da Lei 13.726/2018, estando proibida a exigência, por parte de órgãos e entidades públicas de documentos com forma reconhecida e de cópias autenticadas, o mesmo vale para autenticação de cópias.</w:t>
      </w:r>
    </w:p>
    <w:p w:rsidR="00865E26" w:rsidRDefault="00865E26" w:rsidP="002C2809">
      <w:pPr>
        <w:pStyle w:val="NormalWeb"/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Na mesma sessão foi concedido ao licitante o prazo de 03(três) dias úteis para a apresentação das razões de recurso.</w:t>
      </w:r>
    </w:p>
    <w:p w:rsidR="00865E26" w:rsidRDefault="00865E26" w:rsidP="002C2809">
      <w:pPr>
        <w:pStyle w:val="NormalWeb"/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 entanto, o prazo para a interposição das razões de recurso prescreveu no dia 19 de maio de 2021 e o licitante quedou-se inerte.</w:t>
      </w:r>
    </w:p>
    <w:p w:rsidR="00865E26" w:rsidRDefault="00865E26" w:rsidP="002C2809">
      <w:pPr>
        <w:pStyle w:val="NormalWeb"/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Apenas por este fato, sua intenção de recurso constante da ata perdera o efeito, não gerando, portanto, a exigência de contrarrazões por parte dos outros licitantes</w:t>
      </w:r>
      <w:r w:rsidR="00F1090B">
        <w:rPr>
          <w:rFonts w:ascii="Verdana" w:hAnsi="Verdana"/>
          <w:sz w:val="18"/>
          <w:szCs w:val="18"/>
        </w:rPr>
        <w:t>.</w:t>
      </w:r>
    </w:p>
    <w:p w:rsidR="001C651E" w:rsidRDefault="00865E26" w:rsidP="002C2809">
      <w:pPr>
        <w:pStyle w:val="NormalWeb"/>
        <w:ind w:firstLine="1134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Porém, a fim de que não paire qualquer dúvida em relação à atuação do Pregoeiro, </w:t>
      </w:r>
      <w:r w:rsidR="001C651E">
        <w:rPr>
          <w:rFonts w:ascii="Verdana" w:hAnsi="Verdana"/>
          <w:sz w:val="18"/>
          <w:szCs w:val="18"/>
        </w:rPr>
        <w:t>imprescindível manifestar-se acerca dos apontamentos efetuados pelo mesmo.</w:t>
      </w:r>
    </w:p>
    <w:p w:rsidR="00865E26" w:rsidRDefault="00865E26" w:rsidP="002C2809">
      <w:pPr>
        <w:pStyle w:val="NormalWeb"/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1C651E">
        <w:rPr>
          <w:rFonts w:ascii="Verdana" w:hAnsi="Verdana"/>
          <w:sz w:val="18"/>
          <w:szCs w:val="18"/>
        </w:rPr>
        <w:t>Quanto ao lote 01, foram classificadas as empresas que prestam serviços de portaria, sendo, portanto desnecessária suas credenciais em relação aos itens 10.10, 10.11 e 10.12, vistos que tais exigências são referentes às empresas de vigilância.</w:t>
      </w:r>
    </w:p>
    <w:p w:rsidR="001C651E" w:rsidRDefault="001C651E" w:rsidP="002C2809">
      <w:pPr>
        <w:pStyle w:val="NormalWeb"/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Quanto ao lote 02, o edital do pregão presencial é regido pela Lei 10.520/02, sendo utilizada a Lei 8.666/93 subsidiariamente.</w:t>
      </w:r>
    </w:p>
    <w:p w:rsidR="001C651E" w:rsidRDefault="001C651E" w:rsidP="002C2809">
      <w:pPr>
        <w:pStyle w:val="NormalWeb"/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Portanto, apesar de não constar expressamente do instrumento convocatório a exigência de autenticação dos documentos, o artigo 32, </w:t>
      </w:r>
      <w:r>
        <w:rPr>
          <w:rFonts w:ascii="Verdana" w:hAnsi="Verdana"/>
          <w:i/>
          <w:sz w:val="18"/>
          <w:szCs w:val="18"/>
        </w:rPr>
        <w:t>caput,</w:t>
      </w:r>
      <w:r>
        <w:rPr>
          <w:rFonts w:ascii="Verdana" w:hAnsi="Verdana"/>
          <w:sz w:val="18"/>
          <w:szCs w:val="18"/>
        </w:rPr>
        <w:t xml:space="preserve"> da Lei 8.666/93 reza:</w:t>
      </w:r>
    </w:p>
    <w:p w:rsidR="001C651E" w:rsidRDefault="001C651E" w:rsidP="001C651E">
      <w:pPr>
        <w:pStyle w:val="NormalWeb"/>
        <w:ind w:left="1701"/>
        <w:jc w:val="both"/>
        <w:rPr>
          <w:rFonts w:ascii="Arial" w:hAnsi="Arial" w:cs="Arial"/>
          <w:i/>
          <w:sz w:val="20"/>
          <w:szCs w:val="20"/>
        </w:rPr>
      </w:pPr>
      <w:r w:rsidRPr="001C651E">
        <w:rPr>
          <w:rFonts w:ascii="Arial" w:hAnsi="Arial" w:cs="Arial"/>
          <w:i/>
          <w:sz w:val="20"/>
          <w:szCs w:val="20"/>
        </w:rPr>
        <w:t xml:space="preserve">Art. 32. Os documentos necessários à habilitação poderão ser apresentados em original, por qualquer processo de cópia autenticada por cartório competente </w:t>
      </w:r>
      <w:r w:rsidRPr="001C651E">
        <w:rPr>
          <w:rFonts w:ascii="Arial" w:hAnsi="Arial" w:cs="Arial"/>
          <w:b/>
          <w:i/>
          <w:sz w:val="20"/>
          <w:szCs w:val="20"/>
          <w:u w:val="single"/>
        </w:rPr>
        <w:t>ou por servidor da administração</w:t>
      </w:r>
      <w:r w:rsidRPr="001C651E">
        <w:rPr>
          <w:rFonts w:ascii="Arial" w:hAnsi="Arial" w:cs="Arial"/>
          <w:i/>
          <w:sz w:val="20"/>
          <w:szCs w:val="20"/>
        </w:rPr>
        <w:t xml:space="preserve"> ou publicação em órgão da imprensa oficial. 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g.n</w:t>
      </w:r>
      <w:proofErr w:type="spellEnd"/>
      <w:r>
        <w:rPr>
          <w:rFonts w:ascii="Arial" w:hAnsi="Arial" w:cs="Arial"/>
          <w:i/>
          <w:sz w:val="20"/>
          <w:szCs w:val="20"/>
        </w:rPr>
        <w:t>.)</w:t>
      </w:r>
    </w:p>
    <w:p w:rsidR="001C651E" w:rsidRDefault="001C651E" w:rsidP="001C651E">
      <w:pPr>
        <w:pStyle w:val="NormalWeb"/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A lei </w:t>
      </w:r>
      <w:r w:rsidR="00EC4F66">
        <w:rPr>
          <w:rFonts w:ascii="Verdana" w:hAnsi="Verdana"/>
          <w:sz w:val="18"/>
          <w:szCs w:val="18"/>
        </w:rPr>
        <w:t>13.726/2018, em seu art. 3º, reza:</w:t>
      </w:r>
    </w:p>
    <w:p w:rsidR="00EC4F66" w:rsidRPr="00EC4F66" w:rsidRDefault="00EC4F66" w:rsidP="00EC4F66">
      <w:pPr>
        <w:spacing w:before="300" w:after="300" w:line="240" w:lineRule="auto"/>
        <w:ind w:left="1701"/>
        <w:jc w:val="both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EC4F66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Art. 3º Na relação dos órgãos e entidades dos Poderes da União, dos Estados, do Distrito Federal e dos Municípios com o cidadão, é dispensada a exigência de: </w:t>
      </w:r>
    </w:p>
    <w:p w:rsidR="00EC4F66" w:rsidRPr="00EC4F66" w:rsidRDefault="00EC4F66" w:rsidP="00EC4F66">
      <w:pPr>
        <w:spacing w:before="300" w:after="300" w:line="240" w:lineRule="auto"/>
        <w:ind w:left="1701"/>
        <w:jc w:val="both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EC4F66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I - </w:t>
      </w:r>
      <w:proofErr w:type="gramStart"/>
      <w:r w:rsidRPr="00EC4F66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reconhecimento</w:t>
      </w:r>
      <w:proofErr w:type="gramEnd"/>
      <w:r w:rsidRPr="00EC4F66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de firma, </w:t>
      </w:r>
      <w:r w:rsidRPr="00EC4F66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t-BR"/>
        </w:rPr>
        <w:t>devendo o agente administrativo, confrontando a assinatura com aquela constante do documento de identidade do signatário, ou estando este presente e assinando o documento diante do agente, lavrar sua autenticidade no próprio documento</w:t>
      </w:r>
      <w:r w:rsidRPr="00EC4F66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; </w:t>
      </w:r>
    </w:p>
    <w:p w:rsidR="00EC4F66" w:rsidRPr="00EC4F66" w:rsidRDefault="00EC4F66" w:rsidP="00EC4F66">
      <w:pPr>
        <w:spacing w:before="300" w:after="300" w:line="240" w:lineRule="auto"/>
        <w:ind w:left="1701"/>
        <w:jc w:val="both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EC4F66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II - </w:t>
      </w:r>
      <w:proofErr w:type="gramStart"/>
      <w:r w:rsidRPr="00EC4F66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t-BR"/>
        </w:rPr>
        <w:t>autenticação</w:t>
      </w:r>
      <w:proofErr w:type="gramEnd"/>
      <w:r w:rsidRPr="00EC4F66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t-BR"/>
        </w:rPr>
        <w:t xml:space="preserve"> de cópia de documento, cabendo ao agente administrativo, mediante a comparação entre o original e a cópia, atestar a autenticidade</w:t>
      </w:r>
      <w:r w:rsidRPr="00EC4F66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; </w:t>
      </w:r>
    </w:p>
    <w:p w:rsidR="00EC4F66" w:rsidRDefault="00EC4F66" w:rsidP="00EC4F66">
      <w:pPr>
        <w:spacing w:before="300" w:after="300" w:line="240" w:lineRule="auto"/>
        <w:ind w:left="170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</w:pPr>
      <w:r w:rsidRPr="00EC4F66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III - </w:t>
      </w:r>
      <w:r w:rsidRPr="00EC4F66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t-BR"/>
        </w:rPr>
        <w:t>juntada de documento pessoal do usuário, que poderá ser substituído por cópia autenticada pelo próprio agente administrativo</w:t>
      </w:r>
      <w:r w:rsidRPr="00EC4F66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;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(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g.n</w:t>
      </w:r>
      <w:proofErr w:type="spellEnd"/>
      <w:r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.)</w:t>
      </w:r>
      <w:r w:rsidRPr="00EC4F66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</w:t>
      </w:r>
    </w:p>
    <w:p w:rsidR="00EC4F66" w:rsidRPr="00EC4F66" w:rsidRDefault="00EC4F66" w:rsidP="00EC4F66">
      <w:pPr>
        <w:spacing w:before="300" w:after="300" w:line="240" w:lineRule="auto"/>
        <w:ind w:left="1701"/>
        <w:jc w:val="both"/>
        <w:rPr>
          <w:rFonts w:ascii="Arial" w:eastAsia="Times New Roman" w:hAnsi="Arial" w:cs="Arial"/>
          <w:i/>
          <w:sz w:val="20"/>
          <w:szCs w:val="20"/>
          <w:lang w:eastAsia="pt-BR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....</w:t>
      </w:r>
    </w:p>
    <w:p w:rsidR="00EC4F66" w:rsidRDefault="00EC4F66" w:rsidP="00EC4F66">
      <w:pPr>
        <w:pStyle w:val="NormalWeb"/>
        <w:ind w:firstLine="1134"/>
        <w:jc w:val="both"/>
        <w:rPr>
          <w:rFonts w:ascii="Verdana" w:hAnsi="Verdana"/>
          <w:sz w:val="18"/>
          <w:szCs w:val="18"/>
        </w:rPr>
      </w:pPr>
    </w:p>
    <w:p w:rsidR="00EC4F66" w:rsidRDefault="00EC4F66" w:rsidP="00EC4F66">
      <w:pPr>
        <w:pStyle w:val="NormalWeb"/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No que concerne à manifestação do licitante em relação à desobrigação de autenticação de documentos, realmente o mesmo tem razão quando argumenta que não estaria obrigado e reconhecer firma ou autenticar documento em cartório. Porém, o documento não dispensa autenticação, ainda que por agente administrativo, conforme acima explicitado. </w:t>
      </w:r>
    </w:p>
    <w:p w:rsidR="00EC4F66" w:rsidRDefault="00EC4F66" w:rsidP="00EC4F66">
      <w:pPr>
        <w:pStyle w:val="NormalWeb"/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licitante teve todas as condições de autenticar seus documentos durante todo o prazo antes da abertura do certame e até o momento da entrega dos envelopes. Não o fez. </w:t>
      </w:r>
    </w:p>
    <w:p w:rsidR="0073426E" w:rsidRDefault="00EC4F66" w:rsidP="00EC4F66">
      <w:pPr>
        <w:pStyle w:val="NormalWeb"/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 demais empresa</w:t>
      </w:r>
      <w:r w:rsidR="00166EC6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cumpriram os requisitos.</w:t>
      </w:r>
    </w:p>
    <w:p w:rsidR="00166EC6" w:rsidRDefault="00166EC6" w:rsidP="007A111C">
      <w:pPr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Não bastasse tal descumprimento, a empresa também foi inabilitada por descumprir os itens </w:t>
      </w:r>
      <w:r w:rsidRPr="00166EC6">
        <w:rPr>
          <w:rFonts w:ascii="Verdana" w:hAnsi="Verdana" w:cs="Arial"/>
          <w:b/>
          <w:sz w:val="18"/>
          <w:szCs w:val="18"/>
        </w:rPr>
        <w:t>10.04, subitens 10.04.01 e 10.04.02</w:t>
      </w:r>
      <w:r>
        <w:rPr>
          <w:rFonts w:ascii="Verdana" w:hAnsi="Verdana" w:cs="Arial"/>
          <w:b/>
          <w:sz w:val="18"/>
          <w:szCs w:val="18"/>
        </w:rPr>
        <w:t xml:space="preserve">, </w:t>
      </w:r>
      <w:r w:rsidRPr="00903A37">
        <w:rPr>
          <w:rFonts w:ascii="Verdana" w:hAnsi="Verdana" w:cs="Arial"/>
          <w:sz w:val="18"/>
          <w:szCs w:val="18"/>
        </w:rPr>
        <w:t xml:space="preserve">ou seja, não comprovou sua </w:t>
      </w:r>
      <w:r w:rsidR="00903A37">
        <w:rPr>
          <w:rFonts w:ascii="Verdana" w:hAnsi="Verdana" w:cs="Arial"/>
          <w:sz w:val="18"/>
          <w:szCs w:val="18"/>
        </w:rPr>
        <w:t>boa situação financeira, através dos índices contábeis, quais sejam:</w:t>
      </w:r>
      <w:r w:rsidR="007A111C">
        <w:rPr>
          <w:rFonts w:ascii="Verdana" w:hAnsi="Verdana" w:cs="Arial"/>
          <w:sz w:val="18"/>
          <w:szCs w:val="18"/>
        </w:rPr>
        <w:t xml:space="preserve"> </w:t>
      </w:r>
      <w:r w:rsidRPr="00166EC6">
        <w:rPr>
          <w:rFonts w:ascii="Verdana" w:hAnsi="Verdana" w:cs="Arial"/>
          <w:sz w:val="18"/>
          <w:szCs w:val="18"/>
        </w:rPr>
        <w:t>ILG = Índice de Liquidez Geral</w:t>
      </w:r>
      <w:r w:rsidR="007A111C">
        <w:rPr>
          <w:rFonts w:ascii="Verdana" w:hAnsi="Verdana" w:cs="Arial"/>
          <w:sz w:val="18"/>
          <w:szCs w:val="18"/>
        </w:rPr>
        <w:t xml:space="preserve">, </w:t>
      </w:r>
      <w:r w:rsidRPr="00166EC6">
        <w:rPr>
          <w:rFonts w:ascii="Verdana" w:hAnsi="Verdana" w:cs="Arial"/>
          <w:sz w:val="18"/>
          <w:szCs w:val="18"/>
        </w:rPr>
        <w:t>ISG = Índice de Solvência Geral</w:t>
      </w:r>
      <w:r w:rsidR="007A111C">
        <w:rPr>
          <w:rFonts w:ascii="Verdana" w:hAnsi="Verdana" w:cs="Arial"/>
          <w:sz w:val="18"/>
          <w:szCs w:val="18"/>
        </w:rPr>
        <w:t xml:space="preserve">, </w:t>
      </w:r>
      <w:r w:rsidRPr="00166EC6">
        <w:rPr>
          <w:rFonts w:ascii="Verdana" w:hAnsi="Verdana" w:cs="Arial"/>
          <w:sz w:val="18"/>
          <w:szCs w:val="18"/>
        </w:rPr>
        <w:t>ILC = Índice de Liquidez Corrente</w:t>
      </w:r>
      <w:r w:rsidR="007A111C">
        <w:rPr>
          <w:rFonts w:ascii="Verdana" w:hAnsi="Verdana" w:cs="Arial"/>
          <w:sz w:val="18"/>
          <w:szCs w:val="18"/>
        </w:rPr>
        <w:t xml:space="preserve"> e IE </w:t>
      </w:r>
      <w:r w:rsidRPr="00166EC6">
        <w:rPr>
          <w:rFonts w:ascii="Verdana" w:hAnsi="Verdana" w:cs="Arial"/>
          <w:sz w:val="18"/>
          <w:szCs w:val="18"/>
        </w:rPr>
        <w:t>= Índice de Endividamento</w:t>
      </w:r>
      <w:r w:rsidR="007A111C">
        <w:rPr>
          <w:rFonts w:ascii="Verdana" w:hAnsi="Verdana" w:cs="Arial"/>
          <w:sz w:val="18"/>
          <w:szCs w:val="18"/>
        </w:rPr>
        <w:t>.</w:t>
      </w:r>
    </w:p>
    <w:p w:rsidR="001A0129" w:rsidRDefault="001A0129" w:rsidP="007A111C">
      <w:pPr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Face ao exposto, o Pregoeiro mantém a inabilitação da empresa </w:t>
      </w:r>
      <w:r>
        <w:rPr>
          <w:rFonts w:ascii="Verdana" w:hAnsi="Verdana"/>
          <w:sz w:val="18"/>
          <w:szCs w:val="18"/>
        </w:rPr>
        <w:t>BARBO SEGURANÇA EIRELI</w:t>
      </w:r>
      <w:r w:rsidR="00A14A5B">
        <w:rPr>
          <w:rFonts w:ascii="Verdana" w:hAnsi="Verdana"/>
          <w:sz w:val="18"/>
          <w:szCs w:val="18"/>
        </w:rPr>
        <w:t>.</w:t>
      </w:r>
    </w:p>
    <w:p w:rsidR="00A14A5B" w:rsidRDefault="00A14A5B" w:rsidP="007A111C">
      <w:pPr>
        <w:ind w:firstLine="1134"/>
        <w:jc w:val="both"/>
        <w:rPr>
          <w:rFonts w:ascii="Verdana" w:hAnsi="Verdana"/>
          <w:sz w:val="18"/>
          <w:szCs w:val="18"/>
        </w:rPr>
      </w:pPr>
    </w:p>
    <w:p w:rsidR="00A14A5B" w:rsidRPr="00166EC6" w:rsidRDefault="00A14A5B" w:rsidP="00A14A5B">
      <w:pPr>
        <w:jc w:val="center"/>
        <w:rPr>
          <w:rFonts w:ascii="Verdana" w:hAnsi="Verdana" w:cs="Arial"/>
          <w:sz w:val="18"/>
          <w:szCs w:val="18"/>
        </w:rPr>
      </w:pPr>
    </w:p>
    <w:p w:rsidR="00A14A5B" w:rsidRPr="00A14A5B" w:rsidRDefault="00A14A5B" w:rsidP="00A14A5B">
      <w:pPr>
        <w:pStyle w:val="NormalWeb"/>
        <w:spacing w:before="0" w:beforeAutospacing="0" w:after="0" w:afterAutospacing="0"/>
        <w:jc w:val="center"/>
        <w:rPr>
          <w:rFonts w:ascii="Verdana" w:hAnsi="Verdana"/>
          <w:b/>
        </w:rPr>
      </w:pPr>
      <w:r w:rsidRPr="00A14A5B">
        <w:rPr>
          <w:rFonts w:ascii="Verdana" w:hAnsi="Verdana"/>
          <w:b/>
        </w:rPr>
        <w:t>DJALMA GOMES</w:t>
      </w:r>
    </w:p>
    <w:p w:rsidR="00A14A5B" w:rsidRPr="00A14A5B" w:rsidRDefault="00A14A5B" w:rsidP="00A14A5B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A14A5B">
        <w:rPr>
          <w:rFonts w:ascii="Verdana" w:hAnsi="Verdana"/>
        </w:rPr>
        <w:t>Pregoeiro</w:t>
      </w:r>
    </w:p>
    <w:p w:rsidR="00591F92" w:rsidRPr="0073426E" w:rsidRDefault="00591F92" w:rsidP="00EC4F66">
      <w:pPr>
        <w:pStyle w:val="NormalWeb"/>
        <w:ind w:firstLine="1134"/>
        <w:jc w:val="both"/>
        <w:rPr>
          <w:rFonts w:ascii="Verdana" w:hAnsi="Verdana"/>
          <w:sz w:val="18"/>
          <w:szCs w:val="18"/>
        </w:rPr>
      </w:pPr>
    </w:p>
    <w:p w:rsidR="0073426E" w:rsidRPr="0073426E" w:rsidRDefault="0073426E" w:rsidP="004400F8">
      <w:pPr>
        <w:pStyle w:val="NormalWeb"/>
        <w:jc w:val="both"/>
        <w:rPr>
          <w:rFonts w:ascii="Verdana" w:hAnsi="Verdana"/>
          <w:sz w:val="18"/>
          <w:szCs w:val="18"/>
        </w:rPr>
      </w:pPr>
    </w:p>
    <w:p w:rsidR="0073426E" w:rsidRPr="0073426E" w:rsidRDefault="0073426E" w:rsidP="004400F8">
      <w:pPr>
        <w:pStyle w:val="NormalWeb"/>
        <w:jc w:val="both"/>
        <w:rPr>
          <w:rFonts w:ascii="Verdana" w:hAnsi="Verdana"/>
          <w:sz w:val="18"/>
          <w:szCs w:val="18"/>
        </w:rPr>
      </w:pPr>
    </w:p>
    <w:p w:rsidR="0073426E" w:rsidRPr="0073426E" w:rsidRDefault="0073426E" w:rsidP="004400F8">
      <w:pPr>
        <w:pStyle w:val="NormalWeb"/>
        <w:jc w:val="both"/>
        <w:rPr>
          <w:rFonts w:ascii="Verdana" w:hAnsi="Verdana"/>
          <w:sz w:val="18"/>
          <w:szCs w:val="18"/>
        </w:rPr>
      </w:pPr>
    </w:p>
    <w:p w:rsidR="0073426E" w:rsidRPr="0073426E" w:rsidRDefault="0073426E" w:rsidP="004400F8">
      <w:pPr>
        <w:pStyle w:val="NormalWeb"/>
        <w:jc w:val="both"/>
        <w:rPr>
          <w:rFonts w:ascii="Verdana" w:hAnsi="Verdana"/>
          <w:sz w:val="18"/>
          <w:szCs w:val="18"/>
        </w:rPr>
      </w:pPr>
    </w:p>
    <w:p w:rsidR="0073426E" w:rsidRPr="0073426E" w:rsidRDefault="0073426E" w:rsidP="004400F8">
      <w:pPr>
        <w:pStyle w:val="NormalWeb"/>
        <w:jc w:val="both"/>
        <w:rPr>
          <w:rFonts w:ascii="Verdana" w:hAnsi="Verdana"/>
          <w:sz w:val="18"/>
          <w:szCs w:val="18"/>
        </w:rPr>
      </w:pPr>
    </w:p>
    <w:p w:rsidR="0073426E" w:rsidRPr="0073426E" w:rsidRDefault="0073426E" w:rsidP="004400F8">
      <w:pPr>
        <w:pStyle w:val="NormalWeb"/>
        <w:jc w:val="both"/>
        <w:rPr>
          <w:rFonts w:ascii="Verdana" w:hAnsi="Verdana"/>
          <w:sz w:val="18"/>
          <w:szCs w:val="18"/>
        </w:rPr>
      </w:pPr>
    </w:p>
    <w:p w:rsidR="0073426E" w:rsidRPr="0073426E" w:rsidRDefault="0073426E" w:rsidP="004400F8">
      <w:pPr>
        <w:pStyle w:val="NormalWeb"/>
        <w:jc w:val="both"/>
        <w:rPr>
          <w:rFonts w:ascii="Verdana" w:hAnsi="Verdana"/>
          <w:sz w:val="18"/>
          <w:szCs w:val="18"/>
        </w:rPr>
      </w:pPr>
    </w:p>
    <w:p w:rsidR="0073426E" w:rsidRPr="0073426E" w:rsidRDefault="0073426E" w:rsidP="004400F8">
      <w:pPr>
        <w:pStyle w:val="NormalWeb"/>
        <w:jc w:val="both"/>
        <w:rPr>
          <w:rFonts w:ascii="Verdana" w:hAnsi="Verdana"/>
          <w:sz w:val="18"/>
          <w:szCs w:val="18"/>
        </w:rPr>
      </w:pPr>
    </w:p>
    <w:p w:rsidR="0073426E" w:rsidRPr="0073426E" w:rsidRDefault="0073426E" w:rsidP="004400F8">
      <w:pPr>
        <w:pStyle w:val="NormalWeb"/>
        <w:jc w:val="both"/>
        <w:rPr>
          <w:rFonts w:ascii="Verdana" w:hAnsi="Verdana"/>
          <w:sz w:val="18"/>
          <w:szCs w:val="18"/>
        </w:rPr>
      </w:pPr>
    </w:p>
    <w:p w:rsidR="004400F8" w:rsidRPr="0073426E" w:rsidRDefault="00865E26" w:rsidP="004400F8">
      <w:pPr>
        <w:pStyle w:val="NormalWeb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550F16" w:rsidRPr="0073426E" w:rsidRDefault="00550F16">
      <w:pPr>
        <w:rPr>
          <w:rFonts w:ascii="Verdana" w:hAnsi="Verdana"/>
          <w:sz w:val="18"/>
          <w:szCs w:val="18"/>
        </w:rPr>
      </w:pPr>
    </w:p>
    <w:sectPr w:rsidR="00550F16" w:rsidRPr="007342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6E" w:rsidRDefault="0073426E" w:rsidP="0073426E">
      <w:pPr>
        <w:spacing w:after="0" w:line="240" w:lineRule="auto"/>
      </w:pPr>
      <w:r>
        <w:separator/>
      </w:r>
    </w:p>
  </w:endnote>
  <w:endnote w:type="continuationSeparator" w:id="0">
    <w:p w:rsidR="0073426E" w:rsidRDefault="0073426E" w:rsidP="0073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6E" w:rsidRDefault="0073426E" w:rsidP="0073426E">
      <w:pPr>
        <w:spacing w:after="0" w:line="240" w:lineRule="auto"/>
      </w:pPr>
      <w:r>
        <w:separator/>
      </w:r>
    </w:p>
  </w:footnote>
  <w:footnote w:type="continuationSeparator" w:id="0">
    <w:p w:rsidR="0073426E" w:rsidRDefault="0073426E" w:rsidP="0073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6E" w:rsidRPr="00A91B9C" w:rsidRDefault="0073426E" w:rsidP="0073426E">
    <w:pPr>
      <w:jc w:val="center"/>
      <w:rPr>
        <w:rFonts w:ascii="Verdana" w:hAnsi="Verdana"/>
      </w:rPr>
    </w:pPr>
    <w:r>
      <w:rPr>
        <w:rFonts w:ascii="Verdana" w:hAnsi="Verdana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-231140</wp:posOffset>
          </wp:positionV>
          <wp:extent cx="990600" cy="923925"/>
          <wp:effectExtent l="0" t="0" r="0" b="9525"/>
          <wp:wrapNone/>
          <wp:docPr id="2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lang w:eastAsia="pt-BR"/>
      </w:rPr>
      <w:drawing>
        <wp:inline distT="0" distB="0" distL="0" distR="0">
          <wp:extent cx="628650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26E" w:rsidRPr="00A91B9C" w:rsidRDefault="0073426E" w:rsidP="0073426E">
    <w:pPr>
      <w:pStyle w:val="Cabealho"/>
      <w:jc w:val="center"/>
      <w:rPr>
        <w:b/>
        <w:sz w:val="20"/>
      </w:rPr>
    </w:pPr>
    <w:r w:rsidRPr="00A91B9C">
      <w:rPr>
        <w:b/>
        <w:sz w:val="20"/>
      </w:rPr>
      <w:t>PREFEITURA DO MUNICIPIO DE ARARAQUARA</w:t>
    </w:r>
  </w:p>
  <w:p w:rsidR="0073426E" w:rsidRDefault="0073426E" w:rsidP="0073426E">
    <w:pPr>
      <w:pStyle w:val="Ttulo4"/>
      <w:tabs>
        <w:tab w:val="clear" w:pos="-142"/>
      </w:tabs>
    </w:pPr>
    <w:r>
      <w:rPr>
        <w:sz w:val="20"/>
      </w:rPr>
      <w:t xml:space="preserve"> </w:t>
    </w:r>
  </w:p>
  <w:p w:rsidR="0073426E" w:rsidRDefault="007342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F8"/>
    <w:rsid w:val="00045600"/>
    <w:rsid w:val="000572CF"/>
    <w:rsid w:val="00153CDC"/>
    <w:rsid w:val="00166EC6"/>
    <w:rsid w:val="001A0129"/>
    <w:rsid w:val="001C651E"/>
    <w:rsid w:val="00254F90"/>
    <w:rsid w:val="002C2809"/>
    <w:rsid w:val="004400F8"/>
    <w:rsid w:val="004D3EE4"/>
    <w:rsid w:val="00550F16"/>
    <w:rsid w:val="00591F92"/>
    <w:rsid w:val="0073426E"/>
    <w:rsid w:val="007A111C"/>
    <w:rsid w:val="00865E26"/>
    <w:rsid w:val="00903A37"/>
    <w:rsid w:val="009415B4"/>
    <w:rsid w:val="00A14A5B"/>
    <w:rsid w:val="00E91112"/>
    <w:rsid w:val="00EC4F66"/>
    <w:rsid w:val="00F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462BF36-CB67-47A8-A761-BC1628DA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3426E"/>
    <w:pPr>
      <w:keepNext/>
      <w:widowControl w:val="0"/>
      <w:tabs>
        <w:tab w:val="left" w:pos="-142"/>
      </w:tabs>
      <w:spacing w:after="0" w:line="240" w:lineRule="auto"/>
      <w:jc w:val="center"/>
      <w:outlineLvl w:val="3"/>
    </w:pPr>
    <w:rPr>
      <w:rFonts w:ascii="Verdana" w:eastAsia="Times New Roman" w:hAnsi="Verdana" w:cs="Times New Roman"/>
      <w:b/>
      <w:color w:val="00008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0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4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734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426E"/>
  </w:style>
  <w:style w:type="paragraph" w:styleId="Rodap">
    <w:name w:val="footer"/>
    <w:basedOn w:val="Normal"/>
    <w:link w:val="RodapChar"/>
    <w:uiPriority w:val="99"/>
    <w:unhideWhenUsed/>
    <w:rsid w:val="00734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26E"/>
  </w:style>
  <w:style w:type="character" w:customStyle="1" w:styleId="Ttulo4Char">
    <w:name w:val="Título 4 Char"/>
    <w:basedOn w:val="Fontepargpadro"/>
    <w:link w:val="Ttulo4"/>
    <w:rsid w:val="0073426E"/>
    <w:rPr>
      <w:rFonts w:ascii="Verdana" w:eastAsia="Times New Roman" w:hAnsi="Verdana" w:cs="Times New Roman"/>
      <w:b/>
      <w:color w:val="00008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890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11</cp:revision>
  <cp:lastPrinted>2021-05-14T14:47:00Z</cp:lastPrinted>
  <dcterms:created xsi:type="dcterms:W3CDTF">2021-05-20T12:27:00Z</dcterms:created>
  <dcterms:modified xsi:type="dcterms:W3CDTF">2021-05-20T17:11:00Z</dcterms:modified>
</cp:coreProperties>
</file>