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0D" w:rsidRPr="00C5124E" w:rsidRDefault="00C5124E" w:rsidP="002C5A8F">
      <w:pPr>
        <w:pStyle w:val="Ttulo8"/>
        <w:shd w:val="pct10" w:color="auto" w:fill="auto"/>
        <w:spacing w:before="0" w:after="0"/>
        <w:jc w:val="center"/>
        <w:rPr>
          <w:rFonts w:ascii="Verdana" w:hAnsi="Verdana" w:cs="Arial"/>
          <w:b/>
          <w:sz w:val="36"/>
          <w:szCs w:val="36"/>
        </w:rPr>
      </w:pPr>
      <w:r w:rsidRPr="00C5124E">
        <w:rPr>
          <w:rFonts w:ascii="Verdana" w:hAnsi="Verdana" w:cs="Arial"/>
          <w:b/>
          <w:sz w:val="36"/>
          <w:szCs w:val="36"/>
        </w:rPr>
        <w:t>ANÁLISE DE RECURSOS</w:t>
      </w:r>
    </w:p>
    <w:p w:rsidR="001E4D0D" w:rsidRPr="00C5124E" w:rsidRDefault="001E4D0D" w:rsidP="002C5A8F">
      <w:pPr>
        <w:spacing w:after="0" w:line="240" w:lineRule="auto"/>
        <w:jc w:val="center"/>
        <w:rPr>
          <w:rFonts w:ascii="Verdana" w:hAnsi="Verdana" w:cs="Arial"/>
          <w:b/>
        </w:rPr>
      </w:pPr>
      <w:r w:rsidRPr="00C5124E">
        <w:rPr>
          <w:rFonts w:ascii="Verdana" w:hAnsi="Verdana" w:cs="Arial"/>
          <w:b/>
        </w:rPr>
        <w:t>TOMADA DE PREÇOS Nº 009/2021</w:t>
      </w:r>
    </w:p>
    <w:p w:rsidR="001E4D0D" w:rsidRPr="00C5124E" w:rsidRDefault="001E4D0D" w:rsidP="002C5A8F">
      <w:pPr>
        <w:spacing w:after="0" w:line="240" w:lineRule="auto"/>
        <w:jc w:val="center"/>
        <w:rPr>
          <w:rFonts w:ascii="Verdana" w:hAnsi="Verdana" w:cs="Arial"/>
          <w:b/>
        </w:rPr>
      </w:pPr>
      <w:r w:rsidRPr="00C5124E">
        <w:rPr>
          <w:rFonts w:ascii="Verdana" w:hAnsi="Verdana" w:cs="Arial"/>
          <w:b/>
        </w:rPr>
        <w:t>PROCESSO Nº 1328/2021</w:t>
      </w:r>
    </w:p>
    <w:p w:rsidR="00C5124E" w:rsidRDefault="00C5124E" w:rsidP="002C5A8F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835309" w:rsidRDefault="00835309" w:rsidP="002C5A8F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C5124E" w:rsidRPr="001E4D0D" w:rsidRDefault="00C5124E" w:rsidP="002C5A8F">
      <w:pPr>
        <w:spacing w:after="0"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:rsidR="0093583D" w:rsidRPr="00805099" w:rsidRDefault="00C42E04" w:rsidP="002C5A8F">
      <w:pPr>
        <w:spacing w:after="0" w:line="240" w:lineRule="auto"/>
        <w:jc w:val="both"/>
        <w:rPr>
          <w:rFonts w:ascii="Verdana" w:hAnsi="Verdana"/>
          <w:b/>
        </w:rPr>
      </w:pPr>
      <w:r w:rsidRPr="00C42E04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OBJETO:</w:t>
      </w:r>
      <w:r w:rsidRPr="00C42E04">
        <w:rPr>
          <w:rFonts w:ascii="Times New Roman" w:hAnsi="Times New Roman" w:cs="Times New Roman"/>
          <w:sz w:val="24"/>
          <w:szCs w:val="24"/>
        </w:rPr>
        <w:t xml:space="preserve"> </w:t>
      </w:r>
      <w:r w:rsidR="0093583D" w:rsidRPr="00805099">
        <w:rPr>
          <w:rFonts w:ascii="Verdana" w:hAnsi="Verdana"/>
          <w:b/>
        </w:rPr>
        <w:t xml:space="preserve">“CONTRATAÇÃO DE EMPRESA ESPECIALIZADA PARA </w:t>
      </w:r>
      <w:r w:rsidR="0093583D">
        <w:rPr>
          <w:rFonts w:ascii="Verdana" w:hAnsi="Verdana"/>
          <w:b/>
        </w:rPr>
        <w:t>A INSTALAÇÃO DE APROXIMADAMENTE 600 (SEISCENTOS) NOVOS PONTOS DE ILUMINAÇÃO PÚBLICA COM TECNOLOGIA LED, DENTRO DO PERÍMETRO URBANO E RURAL DO MUNICÍPIO DE ARARAQUARA</w:t>
      </w:r>
      <w:r w:rsidR="0093583D" w:rsidRPr="00805099">
        <w:rPr>
          <w:rFonts w:ascii="Verdana" w:hAnsi="Verdana"/>
          <w:b/>
        </w:rPr>
        <w:t>, CONFORME MEMORIAL DESCRITIVO E DEMAIS ANEXOS QUE FAZEM PARTE DO PRESENTE EDITAL”.</w:t>
      </w:r>
    </w:p>
    <w:p w:rsidR="00870F42" w:rsidRDefault="00870F42" w:rsidP="002C5A8F">
      <w:pPr>
        <w:spacing w:after="0" w:line="240" w:lineRule="auto"/>
        <w:jc w:val="both"/>
        <w:rPr>
          <w:rFonts w:ascii="Times New Roman" w:eastAsia="Candara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1E0DAE" w:rsidRPr="0023455B" w:rsidRDefault="00DD05B2" w:rsidP="002C5A8F">
      <w:pPr>
        <w:spacing w:after="0" w:line="240" w:lineRule="auto"/>
        <w:jc w:val="both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 w:rsidRPr="00CE6069"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  <w:t>REFERÊNCIA</w:t>
      </w:r>
      <w:r w:rsidRP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: </w:t>
      </w:r>
      <w:r w:rsidR="00DB4BA4" w:rsidRP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Análise</w:t>
      </w:r>
      <w:r w:rsidR="00FB643D" w:rsidRP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das razões apresentada</w:t>
      </w:r>
      <w:r w:rsidR="00DB4BA4" w:rsidRP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s</w:t>
      </w:r>
      <w:r w:rsidR="00FB643D" w:rsidRP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pela empresa</w:t>
      </w:r>
      <w:r w:rsidR="00C42E04" w:rsidRP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</w:t>
      </w:r>
      <w:r w:rsidR="0093583D" w:rsidRP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WT – </w:t>
      </w:r>
      <w:r w:rsidR="00517F1A" w:rsidRP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TECNOLOGIA, GESTÃO E ENERGIA </w:t>
      </w:r>
      <w:proofErr w:type="gramStart"/>
      <w:r w:rsidR="00517F1A" w:rsidRP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LTDA </w:t>
      </w:r>
      <w:r w:rsidR="00CE6069" w:rsidRP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35309" w:rsidRDefault="00835309" w:rsidP="002C5A8F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:rsidR="008770F7" w:rsidRDefault="00C51A3E" w:rsidP="002C5A8F">
      <w:pPr>
        <w:spacing w:after="0" w:line="240" w:lineRule="auto"/>
        <w:jc w:val="both"/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</w:pPr>
      <w:r w:rsidRPr="00C51A3E"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  <w:t>BREVE SÍNTESE.</w:t>
      </w:r>
    </w:p>
    <w:p w:rsidR="00207090" w:rsidRPr="00E1599B" w:rsidRDefault="00207090" w:rsidP="002C5A8F">
      <w:pPr>
        <w:spacing w:after="0" w:line="240" w:lineRule="auto"/>
        <w:jc w:val="both"/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</w:pPr>
    </w:p>
    <w:p w:rsidR="0044182C" w:rsidRDefault="00C42E04" w:rsidP="002C5A8F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Em </w:t>
      </w:r>
      <w:r w:rsidR="00517F1A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01 de jun</w:t>
      </w:r>
      <w:r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ho </w:t>
      </w:r>
      <w:proofErr w:type="spellStart"/>
      <w:r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p.p</w:t>
      </w:r>
      <w:proofErr w:type="spellEnd"/>
      <w:r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. às </w:t>
      </w:r>
      <w:r w:rsidR="009A6F76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14:35</w:t>
      </w:r>
      <w:r w:rsidR="00411617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</w:t>
      </w:r>
      <w:r w:rsidR="009A6F76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horas</w:t>
      </w:r>
      <w:r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deu-se início ao certame para a contratação ao objeto supracitado.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:rsidR="00C42E04" w:rsidRDefault="00517F1A" w:rsidP="002C5A8F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Em virtude da quantidade de documentos a serem analisados da fase de habilitação, a Comissão Permanente de Licitação suspendeu a sessão no mesmo dia e passou a analisar a documentação.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:rsidR="006D54E0" w:rsidRDefault="006D54E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7C">
        <w:rPr>
          <w:rFonts w:ascii="Times New Roman" w:hAnsi="Times New Roman" w:cs="Times New Roman"/>
          <w:sz w:val="24"/>
          <w:szCs w:val="24"/>
        </w:rPr>
        <w:t>A habilitação é uma fase indispensável à garantia do cumprimento do contrato, razão pela qual as exigências devem guardar relação de proporcionalidade com as futuras obrigações a serem assumidas pelo vencedor do certame. Por isso, no ato de elaboração de editais, deve-se atentar para não exigir de forma excessiva ou dispensar documentação que seja capaz de atestar a idoneidade do licitante e a sua capacidade de cumprimento do objeto contratado.</w:t>
      </w:r>
    </w:p>
    <w:p w:rsidR="00207090" w:rsidRPr="00335D7C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E0" w:rsidRDefault="006D54E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7C">
        <w:rPr>
          <w:rFonts w:ascii="Times New Roman" w:hAnsi="Times New Roman" w:cs="Times New Roman"/>
          <w:sz w:val="24"/>
          <w:szCs w:val="24"/>
        </w:rPr>
        <w:t>Ora, a participação em certames públicos encontra guarida no princípio Republicano, que garante a todos a igualdade de oportunidades para atuar, de forma plena e efetiva, dos atos da vida pública. Assim, para não lesar o princípio epigrafado, os requisitos de habilitação devem ser proporcionais à garantia do cumprimento da obrigação assumida.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E0" w:rsidRDefault="006D54E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7C">
        <w:rPr>
          <w:rFonts w:ascii="Times New Roman" w:hAnsi="Times New Roman" w:cs="Times New Roman"/>
          <w:sz w:val="24"/>
          <w:szCs w:val="24"/>
        </w:rPr>
        <w:t>A habilitação ou qualificação é a etapa do processo licitatório em que é analisada a idoneidade do licitante e sua capacidade de cumprimento do objeto a ser contratado.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A8F" w:rsidRDefault="002C5A8F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A8F" w:rsidRDefault="002C5A8F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A8F" w:rsidRDefault="002C5A8F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E0" w:rsidRDefault="006D54E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7C">
        <w:rPr>
          <w:rFonts w:ascii="Times New Roman" w:hAnsi="Times New Roman" w:cs="Times New Roman"/>
          <w:sz w:val="24"/>
          <w:szCs w:val="24"/>
        </w:rPr>
        <w:lastRenderedPageBreak/>
        <w:t>Segundo</w:t>
      </w:r>
      <w:r w:rsidR="0035619B">
        <w:rPr>
          <w:rFonts w:ascii="Times New Roman" w:hAnsi="Times New Roman" w:cs="Times New Roman"/>
          <w:sz w:val="24"/>
          <w:szCs w:val="24"/>
        </w:rPr>
        <w:t xml:space="preserve"> José dos Santos Carvalho Filho</w:t>
      </w:r>
      <w:r w:rsidRPr="00335D7C">
        <w:rPr>
          <w:rFonts w:ascii="Times New Roman" w:hAnsi="Times New Roman" w:cs="Times New Roman"/>
          <w:sz w:val="24"/>
          <w:szCs w:val="24"/>
        </w:rPr>
        <w:t>:</w:t>
      </w:r>
    </w:p>
    <w:p w:rsidR="002C5A8F" w:rsidRDefault="002C5A8F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E0" w:rsidRDefault="0035619B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“</w:t>
      </w:r>
      <w:r w:rsidR="006D54E0" w:rsidRPr="0035619B">
        <w:rPr>
          <w:rFonts w:ascii="Times New Roman" w:hAnsi="Times New Roman" w:cs="Times New Roman"/>
          <w:i/>
          <w:sz w:val="24"/>
          <w:szCs w:val="24"/>
        </w:rPr>
        <w:t>Habilitação é a fase do procedimento em que a Administração verifica a aptidão do candidato para a futura contratação. A inabilitação acarreta a exclusão do licitante da fase do julgamento das propostas, e, embora seja uma preliminar deste, vale como um elemento de aferição para o próprio contrato futuro, que é, de regra, al</w:t>
      </w:r>
      <w:r>
        <w:rPr>
          <w:rFonts w:ascii="Times New Roman" w:hAnsi="Times New Roman" w:cs="Times New Roman"/>
          <w:i/>
          <w:sz w:val="24"/>
          <w:szCs w:val="24"/>
        </w:rPr>
        <w:t xml:space="preserve">iás, o alvo final da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licitação.”</w:t>
      </w:r>
      <w:proofErr w:type="gramEnd"/>
    </w:p>
    <w:p w:rsidR="00207090" w:rsidRPr="0035619B" w:rsidRDefault="00207090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54E0" w:rsidRDefault="006D54E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7C">
        <w:rPr>
          <w:rFonts w:ascii="Times New Roman" w:hAnsi="Times New Roman" w:cs="Times New Roman"/>
          <w:sz w:val="24"/>
          <w:szCs w:val="24"/>
        </w:rPr>
        <w:t>O seu fundamento jurídico encontra-se consignado no artigo 37, XXI, da Constituição da República de 1988: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E0" w:rsidRPr="00312338" w:rsidRDefault="006D54E0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338">
        <w:rPr>
          <w:rFonts w:ascii="Times New Roman" w:hAnsi="Times New Roman" w:cs="Times New Roman"/>
          <w:i/>
          <w:sz w:val="24"/>
          <w:szCs w:val="24"/>
        </w:rPr>
        <w:t xml:space="preserve">Art. 37. A administração pública direta e indireta de qualquer dos Poderes da União, dos Estados, do Distrito Federal e dos Municípios obedecerá aos princípios de legalidade, impessoalidade, moralidade, publicidade e eficiência e, também, ao seguinte: </w:t>
      </w:r>
    </w:p>
    <w:p w:rsidR="006D54E0" w:rsidRPr="00312338" w:rsidRDefault="006D54E0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338">
        <w:rPr>
          <w:rFonts w:ascii="Times New Roman" w:hAnsi="Times New Roman" w:cs="Times New Roman"/>
          <w:i/>
          <w:sz w:val="24"/>
          <w:szCs w:val="24"/>
        </w:rPr>
        <w:t>(...)</w:t>
      </w:r>
    </w:p>
    <w:p w:rsidR="006D54E0" w:rsidRPr="00312338" w:rsidRDefault="006D54E0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2338">
        <w:rPr>
          <w:rFonts w:ascii="Times New Roman" w:hAnsi="Times New Roman" w:cs="Times New Roman"/>
          <w:i/>
          <w:sz w:val="24"/>
          <w:szCs w:val="24"/>
        </w:rPr>
        <w:t>XXI - ressalvados os casos especificados na legislação, as obras, serviços, compras e alienações serão contratados mediante processo de licitação pública que assegure igualdade de condições a todos os concorrentes, com cláusulas que estabeleçam obrigações de pagamento, mantidas as condições efetivas da proposta, nos termos da lei, o qual somente permitirá as exigências de qualificação técnica e econômica indispensáveis à garantia do cumprimento das obrigações.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D54E0" w:rsidRPr="004E0D4D" w:rsidRDefault="006D54E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D4D">
        <w:rPr>
          <w:rFonts w:ascii="Times New Roman" w:hAnsi="Times New Roman" w:cs="Times New Roman"/>
          <w:sz w:val="24"/>
          <w:szCs w:val="24"/>
        </w:rPr>
        <w:t>Regulamentando a contratação de obras, serviços, compras e alienações, foi editada a Lei 8.666/93, cujo artigo 27 estabelece os critérios para habilitação:</w:t>
      </w:r>
    </w:p>
    <w:p w:rsidR="006D54E0" w:rsidRPr="004E0D4D" w:rsidRDefault="006D54E0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D4D">
        <w:rPr>
          <w:rFonts w:ascii="Times New Roman" w:hAnsi="Times New Roman" w:cs="Times New Roman"/>
          <w:i/>
          <w:sz w:val="24"/>
          <w:szCs w:val="24"/>
        </w:rPr>
        <w:t>Art. 27.  Para a habilitação nas licitações exigir-se-á dos interessados, exclusivamente, documentação relativa a:</w:t>
      </w:r>
    </w:p>
    <w:p w:rsidR="006D54E0" w:rsidRPr="004E0D4D" w:rsidRDefault="006D54E0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D4D">
        <w:rPr>
          <w:rFonts w:ascii="Times New Roman" w:hAnsi="Times New Roman" w:cs="Times New Roman"/>
          <w:i/>
          <w:sz w:val="24"/>
          <w:szCs w:val="24"/>
        </w:rPr>
        <w:t>I - habilitação jurídica;</w:t>
      </w:r>
    </w:p>
    <w:p w:rsidR="006D54E0" w:rsidRPr="004E0D4D" w:rsidRDefault="006D54E0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D4D">
        <w:rPr>
          <w:rFonts w:ascii="Times New Roman" w:hAnsi="Times New Roman" w:cs="Times New Roman"/>
          <w:i/>
          <w:sz w:val="24"/>
          <w:szCs w:val="24"/>
        </w:rPr>
        <w:t>II - qualificação técnica;</w:t>
      </w:r>
    </w:p>
    <w:p w:rsidR="006D54E0" w:rsidRPr="004E0D4D" w:rsidRDefault="006D54E0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D4D">
        <w:rPr>
          <w:rFonts w:ascii="Times New Roman" w:hAnsi="Times New Roman" w:cs="Times New Roman"/>
          <w:i/>
          <w:sz w:val="24"/>
          <w:szCs w:val="24"/>
        </w:rPr>
        <w:t>III - qualificação econômico-financeira;</w:t>
      </w:r>
    </w:p>
    <w:p w:rsidR="006D54E0" w:rsidRPr="004E0D4D" w:rsidRDefault="006D54E0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0D4D">
        <w:rPr>
          <w:rFonts w:ascii="Times New Roman" w:hAnsi="Times New Roman" w:cs="Times New Roman"/>
          <w:i/>
          <w:sz w:val="24"/>
          <w:szCs w:val="24"/>
        </w:rPr>
        <w:t>IV – regularidade fiscal e trabalhista;</w:t>
      </w:r>
    </w:p>
    <w:p w:rsidR="006D54E0" w:rsidRPr="00335D7C" w:rsidRDefault="006D54E0" w:rsidP="002C5A8F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4E0D4D">
        <w:rPr>
          <w:rFonts w:ascii="Times New Roman" w:hAnsi="Times New Roman" w:cs="Times New Roman"/>
          <w:i/>
          <w:sz w:val="24"/>
          <w:szCs w:val="24"/>
        </w:rPr>
        <w:t>V – cumprimento do disposto no inciso XXXIII do art. 7o da Constituição Federal</w:t>
      </w:r>
      <w:r w:rsidRPr="004E0D4D">
        <w:rPr>
          <w:rFonts w:ascii="Times New Roman" w:hAnsi="Times New Roman" w:cs="Times New Roman"/>
          <w:sz w:val="24"/>
          <w:szCs w:val="24"/>
        </w:rPr>
        <w:t>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54E0" w:rsidRDefault="006D54E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7C">
        <w:rPr>
          <w:rFonts w:ascii="Times New Roman" w:hAnsi="Times New Roman" w:cs="Times New Roman"/>
          <w:sz w:val="24"/>
          <w:szCs w:val="24"/>
        </w:rPr>
        <w:t xml:space="preserve">Desse modo, como requisito à participação das licitações públicas, o interessado deve demonstrar a habilitação jurídica, a qualificação técnica, </w:t>
      </w:r>
      <w:r w:rsidRPr="00AC64A3">
        <w:rPr>
          <w:rFonts w:ascii="Times New Roman" w:hAnsi="Times New Roman" w:cs="Times New Roman"/>
          <w:sz w:val="24"/>
          <w:szCs w:val="24"/>
        </w:rPr>
        <w:t>a qualificação econômico-financeira</w:t>
      </w:r>
      <w:r w:rsidR="00312338" w:rsidRPr="00AC64A3">
        <w:rPr>
          <w:rFonts w:ascii="Times New Roman" w:hAnsi="Times New Roman" w:cs="Times New Roman"/>
          <w:sz w:val="24"/>
          <w:szCs w:val="24"/>
        </w:rPr>
        <w:t xml:space="preserve"> e</w:t>
      </w:r>
      <w:r w:rsidRPr="00335D7C">
        <w:rPr>
          <w:rFonts w:ascii="Times New Roman" w:hAnsi="Times New Roman" w:cs="Times New Roman"/>
          <w:sz w:val="24"/>
          <w:szCs w:val="24"/>
        </w:rPr>
        <w:t xml:space="preserve"> a regularidade fiscal e trabalhista, bem como o cumprimento do artigo 7º, XXXIII, da Constituição Federal, sendo que </w:t>
      </w:r>
      <w:r w:rsidR="00312338">
        <w:rPr>
          <w:rFonts w:ascii="Times New Roman" w:hAnsi="Times New Roman" w:cs="Times New Roman"/>
          <w:sz w:val="24"/>
          <w:szCs w:val="24"/>
        </w:rPr>
        <w:t xml:space="preserve">os </w:t>
      </w:r>
      <w:r w:rsidRPr="00335D7C">
        <w:rPr>
          <w:rFonts w:ascii="Times New Roman" w:hAnsi="Times New Roman" w:cs="Times New Roman"/>
          <w:sz w:val="24"/>
          <w:szCs w:val="24"/>
        </w:rPr>
        <w:t>referidos requisitos devem ser essenciais e exigidos de forma proporcional ao cumprimento da obrigação a ser pactuada.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A8F" w:rsidRDefault="002C5A8F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A8F" w:rsidRDefault="002C5A8F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64A3" w:rsidRDefault="00AC64A3" w:rsidP="002C5A8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Em 07 de junho 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="00D17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empresa </w:t>
      </w:r>
      <w:r w:rsidRPr="00AC64A3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WT – TECNOLOGIA, GESTÃO E ENERGIA </w:t>
      </w:r>
      <w:r w:rsidR="00446814" w:rsidRPr="00AC64A3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LTDA</w:t>
      </w:r>
      <w:r w:rsidR="00446814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foi</w:t>
      </w:r>
      <w:r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inabilitada </w:t>
      </w:r>
      <w:r w:rsidRPr="00AC64A3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por </w:t>
      </w:r>
      <w:r w:rsidRPr="00AC64A3">
        <w:rPr>
          <w:rFonts w:ascii="Times New Roman" w:hAnsi="Times New Roman" w:cs="Times New Roman"/>
          <w:sz w:val="24"/>
          <w:szCs w:val="24"/>
        </w:rPr>
        <w:t>desaten</w:t>
      </w:r>
      <w:r w:rsidR="00F538BE">
        <w:rPr>
          <w:rFonts w:ascii="Times New Roman" w:hAnsi="Times New Roman" w:cs="Times New Roman"/>
          <w:sz w:val="24"/>
          <w:szCs w:val="24"/>
        </w:rPr>
        <w:t xml:space="preserve">der aos subitens 07.01.01.02 </w:t>
      </w:r>
      <w:r w:rsidRPr="00AC64A3">
        <w:rPr>
          <w:rFonts w:ascii="Times New Roman" w:hAnsi="Times New Roman" w:cs="Times New Roman"/>
          <w:sz w:val="24"/>
          <w:szCs w:val="24"/>
        </w:rPr>
        <w:t>e 07.01.01.03</w:t>
      </w:r>
      <w:r w:rsidRPr="00AC64A3">
        <w:rPr>
          <w:rFonts w:ascii="Times New Roman" w:hAnsi="Times New Roman" w:cs="Times New Roman"/>
          <w:i/>
          <w:sz w:val="24"/>
          <w:szCs w:val="24"/>
        </w:rPr>
        <w:t>.</w:t>
      </w:r>
      <w:r w:rsidRPr="00AC64A3">
        <w:rPr>
          <w:rFonts w:ascii="Times New Roman" w:hAnsi="Times New Roman" w:cs="Times New Roman"/>
          <w:sz w:val="24"/>
          <w:szCs w:val="24"/>
        </w:rPr>
        <w:t xml:space="preserve"> A licitante apresentou CRC com certidões</w:t>
      </w:r>
      <w:r w:rsidR="00446814">
        <w:rPr>
          <w:rFonts w:ascii="Times New Roman" w:hAnsi="Times New Roman" w:cs="Times New Roman"/>
          <w:sz w:val="24"/>
          <w:szCs w:val="24"/>
        </w:rPr>
        <w:t xml:space="preserve"> de regularidade com </w:t>
      </w:r>
      <w:r w:rsidR="008B3C33">
        <w:rPr>
          <w:rFonts w:ascii="Times New Roman" w:hAnsi="Times New Roman" w:cs="Times New Roman"/>
          <w:sz w:val="24"/>
          <w:szCs w:val="24"/>
        </w:rPr>
        <w:t xml:space="preserve">o </w:t>
      </w:r>
      <w:r w:rsidR="008B3C33" w:rsidRPr="00AC64A3">
        <w:rPr>
          <w:rFonts w:ascii="Times New Roman" w:hAnsi="Times New Roman" w:cs="Times New Roman"/>
          <w:sz w:val="24"/>
          <w:szCs w:val="24"/>
        </w:rPr>
        <w:t>FGTS</w:t>
      </w:r>
      <w:r w:rsidRPr="00AC64A3">
        <w:rPr>
          <w:rFonts w:ascii="Times New Roman" w:hAnsi="Times New Roman" w:cs="Times New Roman"/>
          <w:sz w:val="24"/>
          <w:szCs w:val="24"/>
        </w:rPr>
        <w:t xml:space="preserve"> e </w:t>
      </w:r>
      <w:r w:rsidR="00446814">
        <w:rPr>
          <w:rFonts w:ascii="Times New Roman" w:hAnsi="Times New Roman" w:cs="Times New Roman"/>
          <w:sz w:val="24"/>
          <w:szCs w:val="24"/>
        </w:rPr>
        <w:t xml:space="preserve">a certidão de débitos federais </w:t>
      </w:r>
      <w:r w:rsidRPr="00AC64A3">
        <w:rPr>
          <w:rFonts w:ascii="Times New Roman" w:hAnsi="Times New Roman" w:cs="Times New Roman"/>
          <w:sz w:val="24"/>
          <w:szCs w:val="24"/>
        </w:rPr>
        <w:t>vencidas.</w:t>
      </w:r>
    </w:p>
    <w:p w:rsidR="00207090" w:rsidRDefault="00207090" w:rsidP="002C5A8F">
      <w:pPr>
        <w:widowControl w:val="0"/>
        <w:suppressAutoHyphens/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26FD8" w:rsidRDefault="00E26FD8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dia </w:t>
      </w:r>
      <w:r w:rsidR="00C30697">
        <w:rPr>
          <w:rFonts w:ascii="Times New Roman" w:hAnsi="Times New Roman" w:cs="Times New Roman"/>
          <w:sz w:val="24"/>
          <w:szCs w:val="24"/>
        </w:rPr>
        <w:t>14 de junho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 empresa </w:t>
      </w:r>
      <w:r w:rsidR="00C30697" w:rsidRPr="00AC64A3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WT – TECNOLOGIA, GESTÃO E ENERGIA LTDA</w:t>
      </w:r>
      <w:r w:rsidR="00C30697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apresentou recurso administrativo </w:t>
      </w:r>
      <w:r w:rsidR="00C30697">
        <w:rPr>
          <w:rFonts w:ascii="Times New Roman" w:hAnsi="Times New Roman" w:cs="Times New Roman"/>
          <w:sz w:val="24"/>
          <w:szCs w:val="24"/>
        </w:rPr>
        <w:t>tempestivamente</w:t>
      </w:r>
      <w:r>
        <w:rPr>
          <w:rFonts w:ascii="Times New Roman" w:hAnsi="Times New Roman" w:cs="Times New Roman"/>
          <w:sz w:val="24"/>
          <w:szCs w:val="24"/>
        </w:rPr>
        <w:t xml:space="preserve"> visando a reforma da decisão que </w:t>
      </w:r>
      <w:r w:rsidR="00C30697">
        <w:rPr>
          <w:rFonts w:ascii="Times New Roman" w:hAnsi="Times New Roman" w:cs="Times New Roman"/>
          <w:sz w:val="24"/>
          <w:szCs w:val="24"/>
        </w:rPr>
        <w:t>a inabilitou.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FD8" w:rsidRDefault="00E26FD8" w:rsidP="00CE60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697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3719E" w:rsidRPr="00CE6069">
        <w:rPr>
          <w:rFonts w:ascii="Times New Roman" w:hAnsi="Times New Roman" w:cs="Times New Roman"/>
          <w:sz w:val="24"/>
          <w:szCs w:val="24"/>
        </w:rPr>
        <w:t>Após</w:t>
      </w:r>
      <w:r w:rsidRPr="00CE6069">
        <w:rPr>
          <w:rFonts w:ascii="Times New Roman" w:hAnsi="Times New Roman" w:cs="Times New Roman"/>
          <w:sz w:val="24"/>
          <w:szCs w:val="24"/>
        </w:rPr>
        <w:t xml:space="preserve"> o estudo detalhado ac</w:t>
      </w:r>
      <w:r w:rsidR="00CE6069" w:rsidRPr="00CE6069">
        <w:rPr>
          <w:rFonts w:ascii="Times New Roman" w:hAnsi="Times New Roman" w:cs="Times New Roman"/>
          <w:sz w:val="24"/>
          <w:szCs w:val="24"/>
        </w:rPr>
        <w:t>erca das razões apresentadas pela empresa</w:t>
      </w:r>
      <w:r w:rsidRPr="00CE6069">
        <w:rPr>
          <w:rFonts w:ascii="Times New Roman" w:hAnsi="Times New Roman" w:cs="Times New Roman"/>
          <w:sz w:val="24"/>
          <w:szCs w:val="24"/>
        </w:rPr>
        <w:t xml:space="preserve">, </w:t>
      </w:r>
      <w:r w:rsidR="00C30697" w:rsidRPr="00CE6069">
        <w:rPr>
          <w:rFonts w:ascii="Times New Roman" w:hAnsi="Times New Roman" w:cs="Times New Roman"/>
          <w:sz w:val="24"/>
          <w:szCs w:val="24"/>
        </w:rPr>
        <w:t xml:space="preserve">a Comissão Permanente de Licitação </w:t>
      </w:r>
      <w:r w:rsidRPr="00CE6069">
        <w:rPr>
          <w:rFonts w:ascii="Times New Roman" w:hAnsi="Times New Roman" w:cs="Times New Roman"/>
          <w:sz w:val="24"/>
          <w:szCs w:val="24"/>
        </w:rPr>
        <w:t>decide:</w:t>
      </w:r>
    </w:p>
    <w:p w:rsidR="00835309" w:rsidRDefault="00835309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235A" w:rsidRDefault="00FD4478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Pelo princípio da vinculação ao instrumento convocatório, uma vez que o edital é a lei maior do certame, as partes devem seguir obrigatoriamente suas cláusulas primando por seu cumprimento.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58E" w:rsidRDefault="0084058E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artigo 41, Lei n. 8.666/1993 – A Administração não pode descumprir as normas e condições do edital, ao qual se acha estritamente vinculada.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0697" w:rsidRDefault="0084058E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empresa</w:t>
      </w:r>
      <w:r w:rsidR="00C30697" w:rsidRPr="00C30697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</w:t>
      </w:r>
      <w:r w:rsidR="00C30697" w:rsidRPr="00AC64A3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WT – TECNOLOGIA, GESTÃO E ENERGIA LTDA</w:t>
      </w:r>
      <w:r w:rsidR="001E229C">
        <w:rPr>
          <w:rFonts w:ascii="Times New Roman" w:hAnsi="Times New Roman" w:cs="Times New Roman"/>
          <w:sz w:val="24"/>
          <w:szCs w:val="24"/>
        </w:rPr>
        <w:t xml:space="preserve"> alega que existiu</w:t>
      </w:r>
      <w:r>
        <w:rPr>
          <w:rFonts w:ascii="Times New Roman" w:hAnsi="Times New Roman" w:cs="Times New Roman"/>
          <w:sz w:val="24"/>
          <w:szCs w:val="24"/>
        </w:rPr>
        <w:t xml:space="preserve"> excesso de formalismo quanto às clá</w:t>
      </w:r>
      <w:r w:rsidR="00C30697">
        <w:rPr>
          <w:rFonts w:ascii="Times New Roman" w:hAnsi="Times New Roman" w:cs="Times New Roman"/>
          <w:sz w:val="24"/>
          <w:szCs w:val="24"/>
        </w:rPr>
        <w:t>usulas 07.01.01.02 e 07.01.01.03</w:t>
      </w:r>
      <w:r w:rsidR="00C911A1">
        <w:rPr>
          <w:rFonts w:ascii="Times New Roman" w:hAnsi="Times New Roman" w:cs="Times New Roman"/>
          <w:sz w:val="24"/>
          <w:szCs w:val="24"/>
        </w:rPr>
        <w:t xml:space="preserve"> do edital,</w:t>
      </w:r>
      <w:r w:rsidR="00C30697">
        <w:rPr>
          <w:rFonts w:ascii="Times New Roman" w:hAnsi="Times New Roman" w:cs="Times New Roman"/>
          <w:sz w:val="24"/>
          <w:szCs w:val="24"/>
        </w:rPr>
        <w:t xml:space="preserve"> que apresentou por e-mail toda a documentação para renovação do CRC – Certificado d</w:t>
      </w:r>
      <w:r w:rsidR="00117CC0">
        <w:rPr>
          <w:rFonts w:ascii="Times New Roman" w:hAnsi="Times New Roman" w:cs="Times New Roman"/>
          <w:sz w:val="24"/>
          <w:szCs w:val="24"/>
        </w:rPr>
        <w:t xml:space="preserve">e Registro Cadastral no dia 20 de abril </w:t>
      </w:r>
      <w:proofErr w:type="spellStart"/>
      <w:r w:rsidR="00117CC0">
        <w:rPr>
          <w:rFonts w:ascii="Times New Roman" w:hAnsi="Times New Roman" w:cs="Times New Roman"/>
          <w:sz w:val="24"/>
          <w:szCs w:val="24"/>
        </w:rPr>
        <w:t>p.p</w:t>
      </w:r>
      <w:proofErr w:type="spellEnd"/>
      <w:r w:rsidR="00117CC0">
        <w:rPr>
          <w:rFonts w:ascii="Times New Roman" w:hAnsi="Times New Roman" w:cs="Times New Roman"/>
          <w:sz w:val="24"/>
          <w:szCs w:val="24"/>
        </w:rPr>
        <w:t xml:space="preserve">. e que na </w:t>
      </w:r>
      <w:r w:rsidR="00C30697">
        <w:rPr>
          <w:rFonts w:ascii="Times New Roman" w:hAnsi="Times New Roman" w:cs="Times New Roman"/>
          <w:sz w:val="24"/>
          <w:szCs w:val="24"/>
        </w:rPr>
        <w:t xml:space="preserve">data do certame apresentou documentação atualizada no Envelope 01 – </w:t>
      </w:r>
      <w:r w:rsidR="00B169CC">
        <w:rPr>
          <w:rFonts w:ascii="Times New Roman" w:hAnsi="Times New Roman" w:cs="Times New Roman"/>
          <w:sz w:val="24"/>
          <w:szCs w:val="24"/>
        </w:rPr>
        <w:t>HABILITAÇÃO.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090" w:rsidRDefault="00C30697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Comissão Permanente de Licitação </w:t>
      </w:r>
      <w:r w:rsidR="00C3719E">
        <w:rPr>
          <w:rFonts w:ascii="Times New Roman" w:hAnsi="Times New Roman" w:cs="Times New Roman"/>
          <w:sz w:val="24"/>
          <w:szCs w:val="24"/>
        </w:rPr>
        <w:t xml:space="preserve">entende </w:t>
      </w:r>
      <w:r w:rsidR="00C911A1">
        <w:rPr>
          <w:rFonts w:ascii="Times New Roman" w:hAnsi="Times New Roman" w:cs="Times New Roman"/>
          <w:sz w:val="24"/>
          <w:szCs w:val="24"/>
        </w:rPr>
        <w:t>não</w:t>
      </w:r>
      <w:r w:rsidR="0084058E">
        <w:rPr>
          <w:rFonts w:ascii="Times New Roman" w:hAnsi="Times New Roman" w:cs="Times New Roman"/>
          <w:sz w:val="24"/>
          <w:szCs w:val="24"/>
        </w:rPr>
        <w:t xml:space="preserve"> </w:t>
      </w:r>
      <w:r w:rsidR="00C3719E">
        <w:rPr>
          <w:rFonts w:ascii="Times New Roman" w:hAnsi="Times New Roman" w:cs="Times New Roman"/>
          <w:sz w:val="24"/>
          <w:szCs w:val="24"/>
        </w:rPr>
        <w:t>haver qualquer</w:t>
      </w:r>
      <w:r w:rsidR="00C911A1">
        <w:rPr>
          <w:rFonts w:ascii="Times New Roman" w:hAnsi="Times New Roman" w:cs="Times New Roman"/>
          <w:sz w:val="24"/>
          <w:szCs w:val="24"/>
        </w:rPr>
        <w:t xml:space="preserve"> excesso</w:t>
      </w:r>
      <w:r w:rsidR="00863BE9">
        <w:rPr>
          <w:rFonts w:ascii="Times New Roman" w:hAnsi="Times New Roman" w:cs="Times New Roman"/>
          <w:sz w:val="24"/>
          <w:szCs w:val="24"/>
        </w:rPr>
        <w:t>,</w:t>
      </w:r>
      <w:r w:rsidR="0084058E">
        <w:rPr>
          <w:rFonts w:ascii="Times New Roman" w:hAnsi="Times New Roman" w:cs="Times New Roman"/>
          <w:sz w:val="24"/>
          <w:szCs w:val="24"/>
        </w:rPr>
        <w:t xml:space="preserve"> </w:t>
      </w:r>
      <w:r w:rsidR="00C3719E">
        <w:rPr>
          <w:rFonts w:ascii="Times New Roman" w:hAnsi="Times New Roman" w:cs="Times New Roman"/>
          <w:sz w:val="24"/>
          <w:szCs w:val="24"/>
        </w:rPr>
        <w:t xml:space="preserve">uma vez que </w:t>
      </w:r>
      <w:r w:rsidR="0035619B">
        <w:rPr>
          <w:rFonts w:ascii="Times New Roman" w:hAnsi="Times New Roman" w:cs="Times New Roman"/>
          <w:sz w:val="24"/>
          <w:szCs w:val="24"/>
        </w:rPr>
        <w:t>restou</w:t>
      </w:r>
      <w:r w:rsidR="00C3719E">
        <w:rPr>
          <w:rFonts w:ascii="Times New Roman" w:hAnsi="Times New Roman" w:cs="Times New Roman"/>
          <w:sz w:val="24"/>
          <w:szCs w:val="24"/>
        </w:rPr>
        <w:t xml:space="preserve"> comprovado o não</w:t>
      </w:r>
      <w:r w:rsidR="0084058E">
        <w:rPr>
          <w:rFonts w:ascii="Times New Roman" w:hAnsi="Times New Roman" w:cs="Times New Roman"/>
          <w:sz w:val="24"/>
          <w:szCs w:val="24"/>
        </w:rPr>
        <w:t xml:space="preserve"> cum</w:t>
      </w:r>
      <w:r w:rsidR="00C911A1">
        <w:rPr>
          <w:rFonts w:ascii="Times New Roman" w:hAnsi="Times New Roman" w:cs="Times New Roman"/>
          <w:sz w:val="24"/>
          <w:szCs w:val="24"/>
        </w:rPr>
        <w:t>primento às cláusulas</w:t>
      </w:r>
      <w:r>
        <w:rPr>
          <w:rFonts w:ascii="Times New Roman" w:hAnsi="Times New Roman" w:cs="Times New Roman"/>
          <w:sz w:val="24"/>
          <w:szCs w:val="24"/>
        </w:rPr>
        <w:t xml:space="preserve"> 07.01.01.02 e 07.01.01.03 do edital</w:t>
      </w:r>
      <w:r w:rsidR="00EF1C52">
        <w:rPr>
          <w:rFonts w:ascii="Times New Roman" w:hAnsi="Times New Roman" w:cs="Times New Roman"/>
          <w:sz w:val="24"/>
          <w:szCs w:val="24"/>
        </w:rPr>
        <w:t>. C</w:t>
      </w:r>
      <w:r w:rsidR="00B169CC">
        <w:rPr>
          <w:rFonts w:ascii="Times New Roman" w:hAnsi="Times New Roman" w:cs="Times New Roman"/>
          <w:sz w:val="24"/>
          <w:szCs w:val="24"/>
        </w:rPr>
        <w:t>omo citado no re</w:t>
      </w:r>
      <w:r w:rsidR="00EF1C52">
        <w:rPr>
          <w:rFonts w:ascii="Times New Roman" w:hAnsi="Times New Roman" w:cs="Times New Roman"/>
          <w:sz w:val="24"/>
          <w:szCs w:val="24"/>
        </w:rPr>
        <w:t xml:space="preserve">curso administrativo da empresa, </w:t>
      </w:r>
      <w:r w:rsidR="00B169CC">
        <w:rPr>
          <w:rFonts w:ascii="Times New Roman" w:hAnsi="Times New Roman" w:cs="Times New Roman"/>
          <w:sz w:val="24"/>
          <w:szCs w:val="24"/>
        </w:rPr>
        <w:t>as certidões possuem valid</w:t>
      </w:r>
      <w:r w:rsidR="00EF1C52">
        <w:rPr>
          <w:rFonts w:ascii="Times New Roman" w:hAnsi="Times New Roman" w:cs="Times New Roman"/>
          <w:sz w:val="24"/>
          <w:szCs w:val="24"/>
        </w:rPr>
        <w:t xml:space="preserve">ade de apenas 30 (trinta) dias. </w:t>
      </w:r>
    </w:p>
    <w:p w:rsidR="002C5A8F" w:rsidRDefault="002C5A8F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C52" w:rsidRDefault="00EF1C52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 sentido, o raciocínio é </w:t>
      </w:r>
      <w:r w:rsidR="00207090">
        <w:rPr>
          <w:rFonts w:ascii="Times New Roman" w:hAnsi="Times New Roman" w:cs="Times New Roman"/>
          <w:sz w:val="24"/>
          <w:szCs w:val="24"/>
        </w:rPr>
        <w:t xml:space="preserve">simples e </w:t>
      </w:r>
      <w:r>
        <w:rPr>
          <w:rFonts w:ascii="Times New Roman" w:hAnsi="Times New Roman" w:cs="Times New Roman"/>
          <w:sz w:val="24"/>
          <w:szCs w:val="24"/>
        </w:rPr>
        <w:t>lógico.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C52" w:rsidRDefault="00EF1C52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certame trata-se de uma Tomada de Preços. Logo, o artigo 22, </w:t>
      </w:r>
      <w:r w:rsidRPr="00EF1C52">
        <w:rPr>
          <w:rFonts w:ascii="Times New Roman" w:hAnsi="Times New Roman" w:cs="Times New Roman"/>
          <w:sz w:val="24"/>
          <w:szCs w:val="24"/>
        </w:rPr>
        <w:t>§ 2</w:t>
      </w:r>
      <w:r>
        <w:rPr>
          <w:rFonts w:ascii="Times New Roman" w:hAnsi="Times New Roman" w:cs="Times New Roman"/>
          <w:sz w:val="24"/>
          <w:szCs w:val="24"/>
        </w:rPr>
        <w:t>, da Lei 8.666/93 reza: “</w:t>
      </w:r>
      <w:r w:rsidRPr="00EF1C52">
        <w:rPr>
          <w:rFonts w:ascii="Times New Roman" w:hAnsi="Times New Roman" w:cs="Times New Roman"/>
          <w:i/>
          <w:sz w:val="24"/>
          <w:szCs w:val="24"/>
        </w:rPr>
        <w:t xml:space="preserve">Tomada de preços é a modalidade de licitação entre </w:t>
      </w:r>
      <w:r w:rsidRPr="00EC2EC1">
        <w:rPr>
          <w:rFonts w:ascii="Times New Roman" w:hAnsi="Times New Roman" w:cs="Times New Roman"/>
          <w:b/>
          <w:i/>
          <w:sz w:val="24"/>
          <w:szCs w:val="24"/>
          <w:u w:val="single"/>
        </w:rPr>
        <w:t>interessados devidamente cadastrados ou que atenderem a todas as condições exigidas para cadastramento até o terceiro dia anterior à data do recebimento das propostas, observada a necessária qualificação</w:t>
      </w:r>
      <w:r>
        <w:rPr>
          <w:rFonts w:ascii="Times New Roman" w:hAnsi="Times New Roman" w:cs="Times New Roman"/>
          <w:sz w:val="24"/>
          <w:szCs w:val="24"/>
        </w:rPr>
        <w:t>”.</w:t>
      </w:r>
      <w:r w:rsidR="00EC2E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2EC1">
        <w:rPr>
          <w:rFonts w:ascii="Times New Roman" w:hAnsi="Times New Roman" w:cs="Times New Roman"/>
          <w:sz w:val="24"/>
          <w:szCs w:val="24"/>
        </w:rPr>
        <w:t>g.n</w:t>
      </w:r>
      <w:proofErr w:type="spellEnd"/>
      <w:r w:rsidR="00EC2EC1">
        <w:rPr>
          <w:rFonts w:ascii="Times New Roman" w:hAnsi="Times New Roman" w:cs="Times New Roman"/>
          <w:sz w:val="24"/>
          <w:szCs w:val="24"/>
        </w:rPr>
        <w:t>.)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C52" w:rsidRDefault="00EF1C52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itens </w:t>
      </w:r>
      <w:r w:rsidR="00EC2EC1">
        <w:rPr>
          <w:rFonts w:ascii="Times New Roman" w:hAnsi="Times New Roman" w:cs="Times New Roman"/>
          <w:sz w:val="24"/>
          <w:szCs w:val="24"/>
        </w:rPr>
        <w:t>mencionados acima</w:t>
      </w:r>
      <w:r>
        <w:rPr>
          <w:rFonts w:ascii="Times New Roman" w:hAnsi="Times New Roman" w:cs="Times New Roman"/>
          <w:sz w:val="24"/>
          <w:szCs w:val="24"/>
        </w:rPr>
        <w:t xml:space="preserve"> estabelecem o seguinte:</w:t>
      </w:r>
    </w:p>
    <w:p w:rsidR="00207090" w:rsidRDefault="00207090" w:rsidP="002C5A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1C52" w:rsidRPr="00EF1C52" w:rsidRDefault="00EF1C52" w:rsidP="002C5A8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EF1C52">
        <w:rPr>
          <w:rFonts w:ascii="Times New Roman" w:hAnsi="Times New Roman" w:cs="Times New Roman"/>
          <w:sz w:val="24"/>
          <w:szCs w:val="24"/>
        </w:rPr>
        <w:t xml:space="preserve">07.01.01.02. </w:t>
      </w:r>
      <w:r w:rsidRPr="00210CC3">
        <w:rPr>
          <w:rFonts w:ascii="Times New Roman" w:hAnsi="Times New Roman" w:cs="Times New Roman"/>
          <w:b/>
          <w:sz w:val="24"/>
          <w:szCs w:val="24"/>
          <w:u w:val="single"/>
        </w:rPr>
        <w:t>Os licitantes já inscritos cujas certidões negativas estiverem vencidas deverão fazer a atualização do Certificado de Registro Cadastral (CRC) até a data marcada para abertura dos envelopes</w:t>
      </w:r>
      <w:r w:rsidRPr="00EF1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1C52" w:rsidRPr="00210CC3" w:rsidRDefault="00EF1C52" w:rsidP="002C5A8F">
      <w:pPr>
        <w:spacing w:after="0" w:line="240" w:lineRule="auto"/>
        <w:ind w:left="226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C52">
        <w:rPr>
          <w:rFonts w:ascii="Times New Roman" w:hAnsi="Times New Roman" w:cs="Times New Roman"/>
          <w:sz w:val="24"/>
          <w:szCs w:val="24"/>
        </w:rPr>
        <w:lastRenderedPageBreak/>
        <w:t xml:space="preserve">07.01.01.03. </w:t>
      </w:r>
      <w:r w:rsidRPr="00210CC3">
        <w:rPr>
          <w:rFonts w:ascii="Times New Roman" w:hAnsi="Times New Roman" w:cs="Times New Roman"/>
          <w:b/>
          <w:sz w:val="24"/>
          <w:szCs w:val="24"/>
          <w:u w:val="single"/>
        </w:rPr>
        <w:t>A ausência de atualização das certidões que compõem o Certificado de Registro Cadastral (CRC),</w:t>
      </w:r>
      <w:r w:rsidRPr="00EF1C52">
        <w:rPr>
          <w:rFonts w:ascii="Times New Roman" w:hAnsi="Times New Roman" w:cs="Times New Roman"/>
          <w:sz w:val="24"/>
          <w:szCs w:val="24"/>
        </w:rPr>
        <w:t xml:space="preserve"> bem como o não atendimento de qualquer requisito legal de habilitação que deva ser comprovado para fins de expedição do Certificado de Registro Cadastral (CRC), implicará na </w:t>
      </w:r>
      <w:r w:rsidRPr="00210CC3">
        <w:rPr>
          <w:rFonts w:ascii="Times New Roman" w:hAnsi="Times New Roman" w:cs="Times New Roman"/>
          <w:b/>
          <w:sz w:val="24"/>
          <w:szCs w:val="24"/>
          <w:u w:val="single"/>
        </w:rPr>
        <w:t>INABILITAÇÃO DA LICITANTE.</w:t>
      </w:r>
    </w:p>
    <w:p w:rsidR="00595630" w:rsidRDefault="00595630" w:rsidP="002C5A8F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EF1C52" w:rsidRDefault="00EF1C52" w:rsidP="002C5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Portanto, nada mais claro de que o cadastro, documento essencial para a participação no certame</w:t>
      </w:r>
      <w:r w:rsidR="005956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EC1">
        <w:rPr>
          <w:rFonts w:ascii="Times New Roman" w:hAnsi="Times New Roman" w:cs="Times New Roman"/>
          <w:b/>
          <w:sz w:val="24"/>
          <w:szCs w:val="24"/>
          <w:u w:val="single"/>
        </w:rPr>
        <w:t>DEVE</w:t>
      </w:r>
      <w:r>
        <w:rPr>
          <w:rFonts w:ascii="Times New Roman" w:hAnsi="Times New Roman" w:cs="Times New Roman"/>
          <w:sz w:val="24"/>
          <w:szCs w:val="24"/>
        </w:rPr>
        <w:t xml:space="preserve"> estar devidamente atualizado em todo seu conteúdo. Caso contrário, por que seria exigido o Certificado de Registro Cadastral? Bastaria que os licitantes apresentassem </w:t>
      </w:r>
      <w:r w:rsidR="005A3356">
        <w:rPr>
          <w:rFonts w:ascii="Times New Roman" w:hAnsi="Times New Roman" w:cs="Times New Roman"/>
          <w:sz w:val="24"/>
          <w:szCs w:val="24"/>
        </w:rPr>
        <w:t xml:space="preserve">sua documentação </w:t>
      </w:r>
      <w:r w:rsidR="0077111E">
        <w:rPr>
          <w:rFonts w:ascii="Times New Roman" w:hAnsi="Times New Roman" w:cs="Times New Roman"/>
          <w:sz w:val="24"/>
          <w:szCs w:val="24"/>
        </w:rPr>
        <w:t>de maneira individual</w:t>
      </w:r>
      <w:r w:rsidR="005A3356">
        <w:rPr>
          <w:rFonts w:ascii="Times New Roman" w:hAnsi="Times New Roman" w:cs="Times New Roman"/>
          <w:sz w:val="24"/>
          <w:szCs w:val="24"/>
        </w:rPr>
        <w:t>. No entanto, não há qualquer disposição legal para que, no caso do cadastro estar desatualizado, os licitantes possam apresentar sua documentação em separado.</w:t>
      </w:r>
      <w:r w:rsidR="00595630">
        <w:rPr>
          <w:rFonts w:ascii="Times New Roman" w:hAnsi="Times New Roman" w:cs="Times New Roman"/>
          <w:sz w:val="24"/>
          <w:szCs w:val="24"/>
        </w:rPr>
        <w:t xml:space="preserve"> Fosse assim, o artigo 22, § 2º da Lei 8.666/93 não </w:t>
      </w:r>
      <w:r w:rsidR="00CF790A">
        <w:rPr>
          <w:rFonts w:ascii="Times New Roman" w:hAnsi="Times New Roman" w:cs="Times New Roman"/>
          <w:sz w:val="24"/>
          <w:szCs w:val="24"/>
        </w:rPr>
        <w:t>precisaria existir e a Modalidade Tomada de Preços não necessitaria de um procedimento próprio</w:t>
      </w:r>
      <w:r w:rsidR="00595630">
        <w:rPr>
          <w:rFonts w:ascii="Times New Roman" w:hAnsi="Times New Roman" w:cs="Times New Roman"/>
          <w:sz w:val="24"/>
          <w:szCs w:val="24"/>
        </w:rPr>
        <w:t>.</w:t>
      </w:r>
    </w:p>
    <w:p w:rsidR="00CF790A" w:rsidRDefault="00CF790A" w:rsidP="002C5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030D" w:rsidRDefault="0058030D" w:rsidP="002C5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mais, faz alegações infundadas e sem qualquer consistência para que mereça maior aprofundamento.</w:t>
      </w:r>
    </w:p>
    <w:p w:rsidR="004E0D4D" w:rsidRDefault="004E0D4D" w:rsidP="002C5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790A" w:rsidRDefault="004E0D4D" w:rsidP="002C5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relação à empresa VBE ENGENHARIA &amp; CONSULTORIA LTDA – </w:t>
      </w:r>
      <w:proofErr w:type="gramStart"/>
      <w:r>
        <w:rPr>
          <w:rFonts w:ascii="Times New Roman" w:hAnsi="Times New Roman" w:cs="Times New Roman"/>
          <w:sz w:val="24"/>
          <w:szCs w:val="24"/>
        </w:rPr>
        <w:t>EPP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outra inabilitada no certame, temos que esta não impetrou recurso administrativo.</w:t>
      </w:r>
      <w:bookmarkStart w:id="0" w:name="_GoBack"/>
      <w:bookmarkEnd w:id="0"/>
    </w:p>
    <w:p w:rsidR="004E0D4D" w:rsidRDefault="004E0D4D" w:rsidP="002C5A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0F67" w:rsidRDefault="00EC2EC1" w:rsidP="002C5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ao exposto</w:t>
      </w:r>
      <w:r w:rsidR="00A75B75" w:rsidRPr="00967E90">
        <w:rPr>
          <w:rFonts w:ascii="Times New Roman" w:hAnsi="Times New Roman" w:cs="Times New Roman"/>
          <w:sz w:val="24"/>
          <w:szCs w:val="24"/>
        </w:rPr>
        <w:t>, em relação ao presente</w:t>
      </w:r>
      <w:r w:rsidR="00967E90">
        <w:rPr>
          <w:rFonts w:ascii="Times New Roman" w:hAnsi="Times New Roman" w:cs="Times New Roman"/>
          <w:sz w:val="24"/>
          <w:szCs w:val="24"/>
        </w:rPr>
        <w:t>,</w:t>
      </w:r>
      <w:r w:rsidR="00A75B75" w:rsidRPr="00967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nega-se provimento ao recurso impetrado, </w:t>
      </w:r>
      <w:r w:rsidR="00960F67" w:rsidRPr="00967E90">
        <w:rPr>
          <w:rFonts w:ascii="Times New Roman" w:hAnsi="Times New Roman" w:cs="Times New Roman"/>
          <w:sz w:val="24"/>
          <w:szCs w:val="24"/>
        </w:rPr>
        <w:t>fica</w:t>
      </w:r>
      <w:r>
        <w:rPr>
          <w:rFonts w:ascii="Times New Roman" w:hAnsi="Times New Roman" w:cs="Times New Roman"/>
          <w:sz w:val="24"/>
          <w:szCs w:val="24"/>
        </w:rPr>
        <w:t>ndo</w:t>
      </w:r>
      <w:r w:rsidR="00960F67" w:rsidRPr="00967E90">
        <w:rPr>
          <w:rFonts w:ascii="Times New Roman" w:hAnsi="Times New Roman" w:cs="Times New Roman"/>
          <w:sz w:val="24"/>
          <w:szCs w:val="24"/>
        </w:rPr>
        <w:t xml:space="preserve"> a</w:t>
      </w:r>
      <w:r w:rsidR="004E0D4D">
        <w:rPr>
          <w:rFonts w:ascii="Times New Roman" w:hAnsi="Times New Roman" w:cs="Times New Roman"/>
          <w:sz w:val="24"/>
          <w:szCs w:val="24"/>
        </w:rPr>
        <w:t>s</w:t>
      </w:r>
      <w:r w:rsidR="00960F67" w:rsidRPr="00967E90">
        <w:rPr>
          <w:rFonts w:ascii="Times New Roman" w:hAnsi="Times New Roman" w:cs="Times New Roman"/>
          <w:sz w:val="24"/>
          <w:szCs w:val="24"/>
        </w:rPr>
        <w:t xml:space="preserve"> empresa</w:t>
      </w:r>
      <w:r w:rsidR="004E0D4D">
        <w:rPr>
          <w:rFonts w:ascii="Times New Roman" w:hAnsi="Times New Roman" w:cs="Times New Roman"/>
          <w:sz w:val="24"/>
          <w:szCs w:val="24"/>
        </w:rPr>
        <w:t>s</w:t>
      </w:r>
      <w:r w:rsidR="004614A5" w:rsidRPr="004614A5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</w:t>
      </w:r>
      <w:r w:rsidR="004614A5" w:rsidRPr="00AC64A3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WT – TECNOLOGIA, GESTÃO E ENERGIA LTDA</w:t>
      </w:r>
      <w:r w:rsidR="00CE6069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e</w:t>
      </w:r>
      <w:r w:rsidR="004E0D4D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</w:t>
      </w:r>
      <w:r w:rsidR="004E0D4D">
        <w:rPr>
          <w:rFonts w:ascii="Times New Roman" w:hAnsi="Times New Roman" w:cs="Times New Roman"/>
          <w:sz w:val="24"/>
          <w:szCs w:val="24"/>
        </w:rPr>
        <w:t>VBE ENGENHARIA &amp; CONSULTORIA LTDA – EPP</w:t>
      </w:r>
      <w:r w:rsidR="00960F67" w:rsidRPr="00967E90">
        <w:rPr>
          <w:rFonts w:ascii="Times New Roman" w:hAnsi="Times New Roman" w:cs="Times New Roman"/>
          <w:sz w:val="24"/>
          <w:szCs w:val="24"/>
        </w:rPr>
        <w:t xml:space="preserve"> </w:t>
      </w:r>
      <w:r w:rsidR="00C3719E">
        <w:rPr>
          <w:rFonts w:ascii="Times New Roman" w:eastAsia="Candara" w:hAnsi="Times New Roman" w:cs="Times New Roman"/>
          <w:b/>
          <w:color w:val="000000" w:themeColor="text1"/>
          <w:sz w:val="24"/>
          <w:szCs w:val="24"/>
          <w:u w:val="single"/>
        </w:rPr>
        <w:t>INABILITADA</w:t>
      </w:r>
      <w:r w:rsidR="004E0D4D">
        <w:rPr>
          <w:rFonts w:ascii="Times New Roman" w:eastAsia="Candara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="00960F67" w:rsidRPr="00967E90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 tendo em vista o não atendimento a todos os requisitos do instrumento convocatório.</w:t>
      </w:r>
    </w:p>
    <w:p w:rsidR="00CE6069" w:rsidRDefault="00CE6069" w:rsidP="002C5A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:rsidR="0099658E" w:rsidRDefault="00A148A5" w:rsidP="002C5A8F">
      <w:pPr>
        <w:spacing w:after="0" w:line="240" w:lineRule="auto"/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Por derradeiro, encaminho os autos para apreciação da Autoridade Superior.</w:t>
      </w:r>
    </w:p>
    <w:p w:rsidR="00A148A5" w:rsidRDefault="00A148A5" w:rsidP="002C5A8F">
      <w:pPr>
        <w:spacing w:after="0" w:line="240" w:lineRule="auto"/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:rsidR="00A148A5" w:rsidRDefault="00A148A5" w:rsidP="00A148A5">
      <w:pPr>
        <w:spacing w:after="0" w:line="240" w:lineRule="auto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:rsidR="00F27D2D" w:rsidRDefault="004614A5" w:rsidP="002C5A8F">
      <w:pPr>
        <w:spacing w:after="0" w:line="240" w:lineRule="auto"/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  <w:r w:rsidRPr="004E0D4D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Araraquara</w:t>
      </w:r>
      <w:r w:rsidR="00C3652B" w:rsidRPr="004E0D4D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, </w:t>
      </w:r>
      <w:r w:rsidRPr="004E0D4D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2</w:t>
      </w:r>
      <w:r w:rsidR="00DF69A8" w:rsidRPr="004E0D4D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 xml:space="preserve">3 </w:t>
      </w:r>
      <w:r w:rsidRPr="004E0D4D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de junho de 2021</w:t>
      </w:r>
      <w:r w:rsidR="00967E90" w:rsidRPr="004E0D4D">
        <w:rPr>
          <w:rFonts w:ascii="Times New Roman" w:eastAsia="Candara" w:hAnsi="Times New Roman" w:cs="Times New Roman"/>
          <w:color w:val="000000" w:themeColor="text1"/>
          <w:sz w:val="24"/>
          <w:szCs w:val="24"/>
        </w:rPr>
        <w:t>.</w:t>
      </w:r>
    </w:p>
    <w:p w:rsidR="004614A5" w:rsidRDefault="004614A5" w:rsidP="002C5A8F">
      <w:pPr>
        <w:spacing w:after="0" w:line="240" w:lineRule="auto"/>
        <w:jc w:val="center"/>
        <w:rPr>
          <w:rFonts w:ascii="Times New Roman" w:eastAsia="Candara" w:hAnsi="Times New Roman" w:cs="Times New Roman"/>
          <w:color w:val="000000" w:themeColor="text1"/>
          <w:sz w:val="24"/>
          <w:szCs w:val="24"/>
        </w:rPr>
      </w:pPr>
    </w:p>
    <w:p w:rsidR="004614A5" w:rsidRPr="006C526F" w:rsidRDefault="004614A5" w:rsidP="002C5A8F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6C526F">
        <w:rPr>
          <w:rFonts w:ascii="Verdana" w:hAnsi="Verdana" w:cs="Arial"/>
          <w:b/>
          <w:sz w:val="20"/>
          <w:szCs w:val="20"/>
        </w:rPr>
        <w:t>ARIANE SOARES DE SOUZA</w:t>
      </w:r>
    </w:p>
    <w:p w:rsidR="004614A5" w:rsidRPr="006C526F" w:rsidRDefault="004614A5" w:rsidP="002C5A8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6C526F">
        <w:rPr>
          <w:rFonts w:ascii="Verdana" w:hAnsi="Verdana" w:cs="Arial"/>
          <w:sz w:val="20"/>
          <w:szCs w:val="20"/>
        </w:rPr>
        <w:t xml:space="preserve">Comissão Permanente de Licitações </w:t>
      </w:r>
    </w:p>
    <w:p w:rsidR="004614A5" w:rsidRPr="006C526F" w:rsidRDefault="004614A5" w:rsidP="002C5A8F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6C526F">
        <w:rPr>
          <w:rFonts w:ascii="Verdana" w:hAnsi="Verdana" w:cs="Arial"/>
          <w:sz w:val="20"/>
          <w:szCs w:val="20"/>
        </w:rPr>
        <w:t xml:space="preserve"> Presidente</w:t>
      </w:r>
    </w:p>
    <w:p w:rsidR="004614A5" w:rsidRDefault="004614A5" w:rsidP="002C5A8F">
      <w:pPr>
        <w:spacing w:after="0" w:line="240" w:lineRule="auto"/>
        <w:jc w:val="center"/>
        <w:rPr>
          <w:b/>
          <w:szCs w:val="24"/>
        </w:rPr>
      </w:pPr>
    </w:p>
    <w:sectPr w:rsidR="004614A5" w:rsidSect="00566E47">
      <w:headerReference w:type="default" r:id="rId8"/>
      <w:footerReference w:type="default" r:id="rId9"/>
      <w:pgSz w:w="11906" w:h="16838"/>
      <w:pgMar w:top="851" w:right="851" w:bottom="156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CD" w:rsidRDefault="00C129CD" w:rsidP="00C82F70">
      <w:pPr>
        <w:spacing w:after="0" w:line="240" w:lineRule="auto"/>
      </w:pPr>
      <w:r>
        <w:separator/>
      </w:r>
    </w:p>
  </w:endnote>
  <w:endnote w:type="continuationSeparator" w:id="0">
    <w:p w:rsidR="00C129CD" w:rsidRDefault="00C129CD" w:rsidP="00C8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74" w:rsidRPr="00CA2F74" w:rsidRDefault="00CA2F74" w:rsidP="00306278">
    <w:pPr>
      <w:pStyle w:val="Rodap"/>
      <w:jc w:val="center"/>
      <w:rPr>
        <w:rFonts w:ascii="Verdana" w:hAnsi="Verdana"/>
        <w:color w:val="004376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CD" w:rsidRDefault="00C129CD" w:rsidP="00C82F70">
      <w:pPr>
        <w:spacing w:after="0" w:line="240" w:lineRule="auto"/>
      </w:pPr>
      <w:r>
        <w:separator/>
      </w:r>
    </w:p>
  </w:footnote>
  <w:footnote w:type="continuationSeparator" w:id="0">
    <w:p w:rsidR="00C129CD" w:rsidRDefault="00C129CD" w:rsidP="00C8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090" w:rsidRPr="006E6DB6" w:rsidRDefault="00207090" w:rsidP="00207090">
    <w:pPr>
      <w:pStyle w:val="Cabealho"/>
      <w:tabs>
        <w:tab w:val="left" w:pos="2985"/>
        <w:tab w:val="center" w:pos="4677"/>
      </w:tabs>
      <w:rPr>
        <w:rFonts w:ascii="Verdana" w:hAnsi="Verdana"/>
        <w:smallCaps/>
        <w:sz w:val="16"/>
        <w:szCs w:val="16"/>
      </w:rPr>
    </w:pPr>
    <w:r>
      <w:rPr>
        <w:smallCaps/>
        <w:noProof/>
        <w:sz w:val="34"/>
        <w:szCs w:val="3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-306705</wp:posOffset>
          </wp:positionV>
          <wp:extent cx="666750" cy="733425"/>
          <wp:effectExtent l="0" t="0" r="0" b="9525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sz w:val="34"/>
        <w:szCs w:val="3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4843780</wp:posOffset>
          </wp:positionH>
          <wp:positionV relativeFrom="paragraph">
            <wp:posOffset>-382905</wp:posOffset>
          </wp:positionV>
          <wp:extent cx="1191895" cy="903605"/>
          <wp:effectExtent l="0" t="0" r="8255" b="0"/>
          <wp:wrapNone/>
          <wp:docPr id="2" name="Imagem 2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sz w:val="34"/>
        <w:szCs w:val="34"/>
      </w:rPr>
      <w:tab/>
    </w:r>
  </w:p>
  <w:p w:rsidR="00207090" w:rsidRPr="006E6DB6" w:rsidRDefault="00207090" w:rsidP="00207090">
    <w:pPr>
      <w:pStyle w:val="Cabealho"/>
      <w:jc w:val="center"/>
      <w:rPr>
        <w:rFonts w:ascii="Verdana" w:hAnsi="Verdana"/>
        <w:smallCaps/>
        <w:sz w:val="16"/>
        <w:szCs w:val="16"/>
      </w:rPr>
    </w:pPr>
  </w:p>
  <w:p w:rsidR="00207090" w:rsidRDefault="00207090" w:rsidP="00207090">
    <w:pPr>
      <w:pStyle w:val="Cabealho"/>
      <w:tabs>
        <w:tab w:val="center" w:pos="4677"/>
        <w:tab w:val="right" w:pos="9355"/>
      </w:tabs>
      <w:rPr>
        <w:rFonts w:ascii="Verdana" w:hAnsi="Verdana"/>
        <w:smallCaps/>
        <w:sz w:val="16"/>
        <w:szCs w:val="16"/>
      </w:rPr>
    </w:pPr>
    <w:r w:rsidRPr="006E6DB6">
      <w:rPr>
        <w:rFonts w:ascii="Verdana" w:hAnsi="Verdana"/>
        <w:smallCaps/>
        <w:sz w:val="16"/>
        <w:szCs w:val="16"/>
      </w:rPr>
      <w:tab/>
      <w:t xml:space="preserve">        </w:t>
    </w:r>
  </w:p>
  <w:p w:rsidR="00207090" w:rsidRDefault="00207090" w:rsidP="00207090">
    <w:pPr>
      <w:pStyle w:val="Cabealho"/>
      <w:tabs>
        <w:tab w:val="center" w:pos="4677"/>
        <w:tab w:val="right" w:pos="9355"/>
      </w:tabs>
      <w:rPr>
        <w:rFonts w:ascii="Verdana" w:hAnsi="Verdana"/>
        <w:smallCaps/>
        <w:sz w:val="16"/>
        <w:szCs w:val="16"/>
      </w:rPr>
    </w:pPr>
  </w:p>
  <w:p w:rsidR="00207090" w:rsidRDefault="00207090" w:rsidP="00207090">
    <w:pPr>
      <w:pStyle w:val="Cabealho"/>
      <w:tabs>
        <w:tab w:val="center" w:pos="4677"/>
        <w:tab w:val="right" w:pos="9355"/>
      </w:tabs>
      <w:rPr>
        <w:rFonts w:ascii="Verdana" w:hAnsi="Verdana"/>
        <w:smallCaps/>
        <w:sz w:val="16"/>
        <w:szCs w:val="16"/>
      </w:rPr>
    </w:pPr>
  </w:p>
  <w:p w:rsidR="00207090" w:rsidRPr="00207090" w:rsidRDefault="00207090" w:rsidP="00207090">
    <w:pPr>
      <w:pStyle w:val="Cabealho"/>
      <w:tabs>
        <w:tab w:val="center" w:pos="0"/>
      </w:tabs>
      <w:jc w:val="center"/>
      <w:rPr>
        <w:rFonts w:ascii="Verdana" w:hAnsi="Verdana"/>
        <w:smallCaps/>
        <w:sz w:val="36"/>
        <w:szCs w:val="36"/>
      </w:rPr>
    </w:pPr>
    <w:r w:rsidRPr="00207090">
      <w:rPr>
        <w:rFonts w:ascii="Verdana" w:hAnsi="Verdana"/>
        <w:smallCaps/>
        <w:sz w:val="36"/>
        <w:szCs w:val="36"/>
      </w:rPr>
      <w:t>Prefeitura Municipal de Araraquara</w:t>
    </w:r>
  </w:p>
  <w:p w:rsidR="00207090" w:rsidRPr="0038117C" w:rsidRDefault="00207090" w:rsidP="00207090">
    <w:pPr>
      <w:keepNext/>
      <w:tabs>
        <w:tab w:val="left" w:pos="708"/>
      </w:tabs>
      <w:spacing w:after="0" w:line="240" w:lineRule="auto"/>
      <w:jc w:val="center"/>
      <w:outlineLvl w:val="3"/>
      <w:rPr>
        <w:rFonts w:ascii="Verdana" w:hAnsi="Verdana" w:cs="Arial"/>
        <w:b/>
        <w:bCs/>
        <w:color w:val="000080"/>
        <w:sz w:val="20"/>
      </w:rPr>
    </w:pPr>
    <w:r w:rsidRPr="0038117C">
      <w:rPr>
        <w:rFonts w:ascii="Verdana" w:hAnsi="Verdana" w:cs="Arial"/>
        <w:b/>
        <w:bCs/>
        <w:color w:val="000080"/>
        <w:sz w:val="20"/>
      </w:rPr>
      <w:t xml:space="preserve">SECRETARIA MUNICIPAL DE </w:t>
    </w:r>
    <w:r>
      <w:rPr>
        <w:rFonts w:ascii="Verdana" w:hAnsi="Verdana" w:cs="Arial"/>
        <w:b/>
        <w:bCs/>
        <w:color w:val="000080"/>
        <w:sz w:val="20"/>
      </w:rPr>
      <w:t>ADMINISTRAÇÃO</w:t>
    </w:r>
  </w:p>
  <w:p w:rsidR="00207090" w:rsidRPr="0038117C" w:rsidRDefault="00207090" w:rsidP="00207090">
    <w:pPr>
      <w:tabs>
        <w:tab w:val="center" w:pos="4419"/>
        <w:tab w:val="right" w:pos="8838"/>
      </w:tabs>
      <w:spacing w:after="0" w:line="240" w:lineRule="auto"/>
      <w:jc w:val="center"/>
      <w:rPr>
        <w:rFonts w:ascii="Verdana" w:hAnsi="Verdana" w:cs="Arial"/>
        <w:b/>
        <w:color w:val="000080"/>
        <w:sz w:val="20"/>
      </w:rPr>
    </w:pPr>
    <w:r w:rsidRPr="0038117C">
      <w:rPr>
        <w:rFonts w:ascii="Verdana" w:hAnsi="Verdana" w:cs="Arial"/>
        <w:b/>
        <w:color w:val="000080"/>
        <w:sz w:val="20"/>
      </w:rPr>
      <w:t>G</w:t>
    </w:r>
    <w:r>
      <w:rPr>
        <w:rFonts w:ascii="Verdana" w:hAnsi="Verdana" w:cs="Arial"/>
        <w:b/>
        <w:color w:val="000080"/>
        <w:sz w:val="20"/>
      </w:rPr>
      <w:t>ERÊNCIA DE LICITAÇÃO</w:t>
    </w:r>
  </w:p>
  <w:p w:rsidR="00207090" w:rsidRDefault="00207090" w:rsidP="00207090">
    <w:pPr>
      <w:spacing w:after="0" w:line="240" w:lineRule="auto"/>
      <w:jc w:val="center"/>
      <w:rPr>
        <w:rFonts w:ascii="Verdana" w:hAnsi="Verdana" w:cs="Arial"/>
        <w:b/>
        <w:color w:val="000080"/>
        <w:sz w:val="18"/>
        <w:szCs w:val="18"/>
      </w:rPr>
    </w:pPr>
    <w:r w:rsidRPr="0038117C">
      <w:rPr>
        <w:rFonts w:ascii="Verdana" w:hAnsi="Verdana" w:cs="Arial"/>
        <w:b/>
        <w:color w:val="000080"/>
        <w:sz w:val="18"/>
        <w:szCs w:val="18"/>
      </w:rPr>
      <w:t>Paço Municipal – Rua São Bento</w:t>
    </w:r>
    <w:r>
      <w:rPr>
        <w:rFonts w:ascii="Verdana" w:hAnsi="Verdana" w:cs="Arial"/>
        <w:b/>
        <w:color w:val="000080"/>
        <w:sz w:val="18"/>
        <w:szCs w:val="18"/>
      </w:rPr>
      <w:t>, 840 – centro – Cep.14.801.901</w:t>
    </w:r>
  </w:p>
  <w:p w:rsidR="00207090" w:rsidRPr="0038117C" w:rsidRDefault="00207090" w:rsidP="00207090">
    <w:pPr>
      <w:spacing w:after="0" w:line="240" w:lineRule="auto"/>
      <w:jc w:val="center"/>
      <w:rPr>
        <w:rFonts w:ascii="Verdana" w:hAnsi="Verdana" w:cs="Arial"/>
        <w:b/>
        <w:color w:val="000080"/>
        <w:sz w:val="18"/>
        <w:szCs w:val="18"/>
      </w:rPr>
    </w:pPr>
    <w:r w:rsidRPr="0038117C">
      <w:rPr>
        <w:rFonts w:ascii="Verdana" w:hAnsi="Verdana" w:cs="Arial"/>
        <w:b/>
        <w:color w:val="000080"/>
        <w:sz w:val="18"/>
        <w:szCs w:val="18"/>
      </w:rPr>
      <w:t xml:space="preserve">Fone: (16) 3301-5116 </w:t>
    </w:r>
    <w:r>
      <w:rPr>
        <w:rFonts w:ascii="Verdana" w:hAnsi="Verdana" w:cs="Arial"/>
        <w:b/>
        <w:color w:val="000080"/>
        <w:sz w:val="18"/>
        <w:szCs w:val="18"/>
      </w:rPr>
      <w:t xml:space="preserve">/ 5170 - </w:t>
    </w:r>
    <w:r w:rsidRPr="0038117C">
      <w:rPr>
        <w:rFonts w:ascii="Verdana" w:hAnsi="Verdana" w:cs="Arial"/>
        <w:b/>
        <w:color w:val="000080"/>
        <w:sz w:val="18"/>
        <w:szCs w:val="18"/>
      </w:rPr>
      <w:t xml:space="preserve">E-mail: </w:t>
    </w:r>
    <w:hyperlink r:id="rId3" w:history="1">
      <w:r w:rsidRPr="0038117C">
        <w:rPr>
          <w:rStyle w:val="Hyperlink"/>
          <w:rFonts w:ascii="Verdana" w:hAnsi="Verdana" w:cs="Arial"/>
          <w:sz w:val="18"/>
          <w:szCs w:val="18"/>
        </w:rPr>
        <w:t>edital@araraquara.sp.gov.br</w:t>
      </w:r>
    </w:hyperlink>
    <w:r w:rsidRPr="0038117C">
      <w:rPr>
        <w:rFonts w:ascii="Verdana" w:hAnsi="Verdana" w:cs="Arial"/>
        <w:b/>
        <w:color w:val="000080"/>
        <w:sz w:val="18"/>
        <w:szCs w:val="18"/>
      </w:rPr>
      <w:t xml:space="preserve">.    </w:t>
    </w:r>
  </w:p>
  <w:p w:rsidR="00207090" w:rsidRPr="00776C98" w:rsidRDefault="00207090" w:rsidP="00207090">
    <w:pPr>
      <w:spacing w:after="0" w:line="240" w:lineRule="auto"/>
      <w:jc w:val="center"/>
      <w:rPr>
        <w:rFonts w:ascii="Verdana" w:hAnsi="Verdana"/>
        <w:sz w:val="20"/>
      </w:rPr>
    </w:pPr>
    <w:r w:rsidRPr="00776C98">
      <w:rPr>
        <w:rFonts w:ascii="Verdana" w:hAnsi="Verdana" w:cs="Arial"/>
        <w:b/>
        <w:color w:val="000080"/>
        <w:sz w:val="20"/>
      </w:rPr>
      <w:t xml:space="preserve">Site: </w:t>
    </w:r>
    <w:hyperlink r:id="rId4" w:history="1">
      <w:r w:rsidRPr="00776C98">
        <w:rPr>
          <w:rStyle w:val="Hyperlink"/>
          <w:rFonts w:ascii="Verdana" w:hAnsi="Verdana"/>
          <w:sz w:val="20"/>
        </w:rPr>
        <w:t>http://www.araraquara.sp.gov.br/transparencia-gestao-e-financas/portal-da-transparencia-gestao-e-financas</w:t>
      </w:r>
    </w:hyperlink>
    <w:r w:rsidRPr="00776C98">
      <w:rPr>
        <w:rFonts w:ascii="Verdana" w:hAnsi="Verdana" w:cs="Arial"/>
        <w:b/>
        <w:color w:val="000080"/>
        <w:sz w:val="20"/>
      </w:rPr>
      <w:t xml:space="preserve">     </w:t>
    </w:r>
  </w:p>
  <w:p w:rsidR="00EC13D1" w:rsidRDefault="00C82F70" w:rsidP="00C3652B">
    <w:pPr>
      <w:pStyle w:val="Cabealho"/>
      <w:tabs>
        <w:tab w:val="center" w:pos="1979"/>
        <w:tab w:val="left" w:pos="2460"/>
      </w:tabs>
      <w:rPr>
        <w:rFonts w:ascii="Times New Roman" w:hAnsi="Times New Roman" w:cs="Times New Roman"/>
        <w:color w:val="000000" w:themeColor="text1"/>
        <w:sz w:val="16"/>
        <w:szCs w:val="32"/>
      </w:rPr>
    </w:pPr>
    <w:r>
      <w:tab/>
    </w:r>
    <w:r>
      <w:tab/>
    </w:r>
  </w:p>
  <w:p w:rsidR="00881023" w:rsidRPr="00306278" w:rsidRDefault="00C3652B" w:rsidP="00C3652B">
    <w:pPr>
      <w:pStyle w:val="Cabealho"/>
      <w:tabs>
        <w:tab w:val="clear" w:pos="4252"/>
        <w:tab w:val="clear" w:pos="8504"/>
        <w:tab w:val="left" w:pos="5235"/>
      </w:tabs>
      <w:rPr>
        <w:rFonts w:ascii="Verdana" w:hAnsi="Verdana"/>
        <w:color w:val="004376"/>
        <w:sz w:val="16"/>
        <w:szCs w:val="16"/>
      </w:rPr>
    </w:pPr>
    <w:r>
      <w:rPr>
        <w:rFonts w:ascii="Verdana" w:hAnsi="Verdana"/>
        <w:color w:val="004376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554"/>
    <w:multiLevelType w:val="hybridMultilevel"/>
    <w:tmpl w:val="6DD885DE"/>
    <w:lvl w:ilvl="0" w:tplc="0416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25"/>
    <w:rsid w:val="0001022C"/>
    <w:rsid w:val="00025D43"/>
    <w:rsid w:val="000313D9"/>
    <w:rsid w:val="000338A9"/>
    <w:rsid w:val="00034B58"/>
    <w:rsid w:val="0007122E"/>
    <w:rsid w:val="00072CFE"/>
    <w:rsid w:val="0009426B"/>
    <w:rsid w:val="000D112B"/>
    <w:rsid w:val="000D2EA4"/>
    <w:rsid w:val="00101BE4"/>
    <w:rsid w:val="001032C8"/>
    <w:rsid w:val="001045C0"/>
    <w:rsid w:val="00110CF6"/>
    <w:rsid w:val="00117CC0"/>
    <w:rsid w:val="0012189F"/>
    <w:rsid w:val="00132B62"/>
    <w:rsid w:val="00136078"/>
    <w:rsid w:val="00147BFD"/>
    <w:rsid w:val="00162D02"/>
    <w:rsid w:val="00186D03"/>
    <w:rsid w:val="001D7010"/>
    <w:rsid w:val="001D7203"/>
    <w:rsid w:val="001E0DAE"/>
    <w:rsid w:val="001E229C"/>
    <w:rsid w:val="001E4D0D"/>
    <w:rsid w:val="00207090"/>
    <w:rsid w:val="00210CC3"/>
    <w:rsid w:val="0023455B"/>
    <w:rsid w:val="002713D3"/>
    <w:rsid w:val="00271861"/>
    <w:rsid w:val="002B475D"/>
    <w:rsid w:val="002C5A8F"/>
    <w:rsid w:val="002D06F5"/>
    <w:rsid w:val="002D4865"/>
    <w:rsid w:val="00305524"/>
    <w:rsid w:val="00306278"/>
    <w:rsid w:val="00312338"/>
    <w:rsid w:val="00335D7C"/>
    <w:rsid w:val="00352FD6"/>
    <w:rsid w:val="0035619B"/>
    <w:rsid w:val="00382E1C"/>
    <w:rsid w:val="003939C8"/>
    <w:rsid w:val="003C77A3"/>
    <w:rsid w:val="003D30C0"/>
    <w:rsid w:val="003D7FDF"/>
    <w:rsid w:val="00404627"/>
    <w:rsid w:val="00411617"/>
    <w:rsid w:val="0041235A"/>
    <w:rsid w:val="00430264"/>
    <w:rsid w:val="00432881"/>
    <w:rsid w:val="0044182C"/>
    <w:rsid w:val="00446814"/>
    <w:rsid w:val="00456151"/>
    <w:rsid w:val="004614A5"/>
    <w:rsid w:val="004669EE"/>
    <w:rsid w:val="004A35EB"/>
    <w:rsid w:val="004B7CF3"/>
    <w:rsid w:val="004C0BE0"/>
    <w:rsid w:val="004C2BA7"/>
    <w:rsid w:val="004E0D4D"/>
    <w:rsid w:val="004E5BFF"/>
    <w:rsid w:val="0051227D"/>
    <w:rsid w:val="00517F1A"/>
    <w:rsid w:val="00524807"/>
    <w:rsid w:val="005263F5"/>
    <w:rsid w:val="00535A84"/>
    <w:rsid w:val="00544019"/>
    <w:rsid w:val="00566E47"/>
    <w:rsid w:val="00573487"/>
    <w:rsid w:val="0058030D"/>
    <w:rsid w:val="00587337"/>
    <w:rsid w:val="00595630"/>
    <w:rsid w:val="005A3356"/>
    <w:rsid w:val="006068C1"/>
    <w:rsid w:val="006151CF"/>
    <w:rsid w:val="00655657"/>
    <w:rsid w:val="006C37C4"/>
    <w:rsid w:val="006D54E0"/>
    <w:rsid w:val="006F71C3"/>
    <w:rsid w:val="0073653A"/>
    <w:rsid w:val="00741652"/>
    <w:rsid w:val="0074256D"/>
    <w:rsid w:val="0077111E"/>
    <w:rsid w:val="00784C12"/>
    <w:rsid w:val="00786B3B"/>
    <w:rsid w:val="007A4AE0"/>
    <w:rsid w:val="007A772F"/>
    <w:rsid w:val="007B2DD3"/>
    <w:rsid w:val="00835309"/>
    <w:rsid w:val="0084058E"/>
    <w:rsid w:val="0085702A"/>
    <w:rsid w:val="0086248A"/>
    <w:rsid w:val="0086249A"/>
    <w:rsid w:val="00863BE9"/>
    <w:rsid w:val="00870F42"/>
    <w:rsid w:val="008714A9"/>
    <w:rsid w:val="008770F7"/>
    <w:rsid w:val="00881023"/>
    <w:rsid w:val="008B3C33"/>
    <w:rsid w:val="008B4C10"/>
    <w:rsid w:val="008D3904"/>
    <w:rsid w:val="008E66E4"/>
    <w:rsid w:val="00921B9A"/>
    <w:rsid w:val="0093583D"/>
    <w:rsid w:val="0095723D"/>
    <w:rsid w:val="00960F67"/>
    <w:rsid w:val="0096222D"/>
    <w:rsid w:val="00966970"/>
    <w:rsid w:val="00967E90"/>
    <w:rsid w:val="00996170"/>
    <w:rsid w:val="0099658E"/>
    <w:rsid w:val="009A61B2"/>
    <w:rsid w:val="009A6F76"/>
    <w:rsid w:val="009C5E97"/>
    <w:rsid w:val="009D2B13"/>
    <w:rsid w:val="00A12F25"/>
    <w:rsid w:val="00A148A5"/>
    <w:rsid w:val="00A27A43"/>
    <w:rsid w:val="00A31C56"/>
    <w:rsid w:val="00A4012B"/>
    <w:rsid w:val="00A67171"/>
    <w:rsid w:val="00A75B75"/>
    <w:rsid w:val="00A77EF9"/>
    <w:rsid w:val="00A944EB"/>
    <w:rsid w:val="00AA4D5C"/>
    <w:rsid w:val="00AA6EBF"/>
    <w:rsid w:val="00AC0AFB"/>
    <w:rsid w:val="00AC64A3"/>
    <w:rsid w:val="00AF2615"/>
    <w:rsid w:val="00B12A27"/>
    <w:rsid w:val="00B139FF"/>
    <w:rsid w:val="00B169CC"/>
    <w:rsid w:val="00B22A15"/>
    <w:rsid w:val="00B456E2"/>
    <w:rsid w:val="00B4732E"/>
    <w:rsid w:val="00B5126F"/>
    <w:rsid w:val="00B53773"/>
    <w:rsid w:val="00B7637B"/>
    <w:rsid w:val="00B91FEE"/>
    <w:rsid w:val="00BF41CD"/>
    <w:rsid w:val="00C129CD"/>
    <w:rsid w:val="00C22B3E"/>
    <w:rsid w:val="00C22FB5"/>
    <w:rsid w:val="00C30697"/>
    <w:rsid w:val="00C3652B"/>
    <w:rsid w:val="00C3719E"/>
    <w:rsid w:val="00C418D6"/>
    <w:rsid w:val="00C42E04"/>
    <w:rsid w:val="00C5124E"/>
    <w:rsid w:val="00C51A3E"/>
    <w:rsid w:val="00C565D0"/>
    <w:rsid w:val="00C66D25"/>
    <w:rsid w:val="00C72C4A"/>
    <w:rsid w:val="00C741A5"/>
    <w:rsid w:val="00C82F70"/>
    <w:rsid w:val="00C911A1"/>
    <w:rsid w:val="00CA2F74"/>
    <w:rsid w:val="00CE6069"/>
    <w:rsid w:val="00CF790A"/>
    <w:rsid w:val="00D17559"/>
    <w:rsid w:val="00D300A8"/>
    <w:rsid w:val="00D31E6F"/>
    <w:rsid w:val="00D46082"/>
    <w:rsid w:val="00D600F7"/>
    <w:rsid w:val="00D607E7"/>
    <w:rsid w:val="00D66C9E"/>
    <w:rsid w:val="00D92543"/>
    <w:rsid w:val="00DB4BA4"/>
    <w:rsid w:val="00DC023D"/>
    <w:rsid w:val="00DD05B2"/>
    <w:rsid w:val="00DF69A8"/>
    <w:rsid w:val="00DF776E"/>
    <w:rsid w:val="00E1599B"/>
    <w:rsid w:val="00E26FD8"/>
    <w:rsid w:val="00E74F2F"/>
    <w:rsid w:val="00EA5EF2"/>
    <w:rsid w:val="00EC13D1"/>
    <w:rsid w:val="00EC2EC1"/>
    <w:rsid w:val="00ED13ED"/>
    <w:rsid w:val="00EF1C52"/>
    <w:rsid w:val="00EF72A5"/>
    <w:rsid w:val="00F11972"/>
    <w:rsid w:val="00F14786"/>
    <w:rsid w:val="00F27D2D"/>
    <w:rsid w:val="00F538BE"/>
    <w:rsid w:val="00F65113"/>
    <w:rsid w:val="00F80261"/>
    <w:rsid w:val="00F97C47"/>
    <w:rsid w:val="00FB643D"/>
    <w:rsid w:val="00FC5080"/>
    <w:rsid w:val="00FD4478"/>
    <w:rsid w:val="00FF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0D0EF48-9411-421A-B564-69948FD7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C0"/>
    <w:rPr>
      <w:rFonts w:ascii="Calibri" w:eastAsia="Calibri" w:hAnsi="Calibri" w:cs="Calibri"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B456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1E4D0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D30C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82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2F7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82F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2F70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526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B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475D"/>
    <w:rPr>
      <w:rFonts w:ascii="Segoe UI" w:eastAsia="Calibri" w:hAnsi="Segoe UI" w:cs="Segoe UI"/>
      <w:color w:val="000000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9"/>
    <w:rsid w:val="00B456E2"/>
    <w:rPr>
      <w:rFonts w:ascii="Arial" w:eastAsia="Times New Roman" w:hAnsi="Arial" w:cs="Arial"/>
      <w:b/>
      <w:bCs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B456E2"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456E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opadro">
    <w:name w:val="Texto padrão"/>
    <w:basedOn w:val="Normal"/>
    <w:rsid w:val="0096222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styleId="Forte">
    <w:name w:val="Strong"/>
    <w:basedOn w:val="Fontepargpadro"/>
    <w:uiPriority w:val="22"/>
    <w:qFormat/>
    <w:rsid w:val="008D3904"/>
    <w:rPr>
      <w:b/>
      <w:bCs/>
    </w:rPr>
  </w:style>
  <w:style w:type="paragraph" w:styleId="PargrafodaLista">
    <w:name w:val="List Paragraph"/>
    <w:basedOn w:val="Normal"/>
    <w:uiPriority w:val="34"/>
    <w:qFormat/>
    <w:rsid w:val="00305524"/>
    <w:pPr>
      <w:ind w:left="720"/>
      <w:contextualSpacing/>
    </w:pPr>
  </w:style>
  <w:style w:type="paragraph" w:customStyle="1" w:styleId="standard">
    <w:name w:val="standard"/>
    <w:basedOn w:val="Normal"/>
    <w:rsid w:val="0010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bodyindent">
    <w:name w:val="textbodyindent"/>
    <w:basedOn w:val="Normal"/>
    <w:rsid w:val="0010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4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66D25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C66D25"/>
    <w:rPr>
      <w:color w:val="5A5A5A" w:themeColor="text1" w:themeTint="A5"/>
      <w:spacing w:val="15"/>
    </w:rPr>
  </w:style>
  <w:style w:type="character" w:customStyle="1" w:styleId="Ttulo8Char">
    <w:name w:val="Título 8 Char"/>
    <w:basedOn w:val="Fontepargpadro"/>
    <w:link w:val="Ttulo8"/>
    <w:rsid w:val="001E4D0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207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dital@araraquara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araraquara.sp.gov.br/transparencia-gestao-e-financas/portal-da-transparencia-gestao-e-financ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65971-F110-4E3A-870D-4484E4488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RAMAIS INTERNOS OU TELEFONES DA SME E DO CEDEPE</vt:lpstr>
    </vt:vector>
  </TitlesOfParts>
  <Company/>
  <LinksUpToDate>false</LinksUpToDate>
  <CharactersWithSpaces>7708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RAMAIS INTERNOS OU TELEFONES DA SME E DO CEDEPE</dc:title>
  <dc:creator>Michelle Vicentine de Arruda</dc:creator>
  <cp:lastModifiedBy>Michelle Vicentine de Arruda</cp:lastModifiedBy>
  <cp:revision>3</cp:revision>
  <cp:lastPrinted>2021-06-22T18:01:00Z</cp:lastPrinted>
  <dcterms:created xsi:type="dcterms:W3CDTF">2021-06-22T17:48:00Z</dcterms:created>
  <dcterms:modified xsi:type="dcterms:W3CDTF">2021-06-22T18:24:00Z</dcterms:modified>
</cp:coreProperties>
</file>