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2CB" w:rsidRPr="00434D4C" w:rsidRDefault="00434D4C" w:rsidP="00BF22CB">
      <w:pPr>
        <w:pStyle w:val="Ttulo8"/>
        <w:shd w:val="pct10" w:color="auto" w:fill="auto"/>
        <w:jc w:val="center"/>
        <w:rPr>
          <w:rFonts w:ascii="Verdana" w:hAnsi="Verdana" w:cs="Arial"/>
          <w:b/>
          <w:sz w:val="36"/>
          <w:szCs w:val="36"/>
        </w:rPr>
      </w:pPr>
      <w:r w:rsidRPr="00434D4C">
        <w:rPr>
          <w:rFonts w:ascii="Verdana" w:hAnsi="Verdana" w:cs="Arial"/>
          <w:b/>
          <w:sz w:val="36"/>
          <w:szCs w:val="36"/>
        </w:rPr>
        <w:t xml:space="preserve">RESPOSTA À </w:t>
      </w:r>
      <w:r w:rsidR="00C65B9F" w:rsidRPr="00434D4C">
        <w:rPr>
          <w:rFonts w:ascii="Verdana" w:hAnsi="Verdana" w:cs="Arial"/>
          <w:b/>
          <w:sz w:val="36"/>
          <w:szCs w:val="36"/>
        </w:rPr>
        <w:t>IMPUGNAÇÃO</w:t>
      </w:r>
    </w:p>
    <w:p w:rsidR="00C65B9F" w:rsidRPr="00F026E2" w:rsidRDefault="00C65B9F" w:rsidP="00633ABB">
      <w:pPr>
        <w:jc w:val="center"/>
        <w:rPr>
          <w:rFonts w:ascii="Verdana" w:hAnsi="Verdana" w:cs="Arial"/>
          <w:b/>
          <w:sz w:val="22"/>
          <w:szCs w:val="22"/>
        </w:rPr>
      </w:pPr>
      <w:r w:rsidRPr="00F026E2">
        <w:rPr>
          <w:rFonts w:ascii="Verdana" w:hAnsi="Verdana" w:cs="Arial"/>
          <w:b/>
          <w:sz w:val="22"/>
          <w:szCs w:val="22"/>
        </w:rPr>
        <w:t>TOMADA DE PREÇOS Nº 009/2021</w:t>
      </w:r>
    </w:p>
    <w:p w:rsidR="00C65B9F" w:rsidRDefault="00C65B9F" w:rsidP="00633ABB">
      <w:pPr>
        <w:jc w:val="center"/>
        <w:rPr>
          <w:rFonts w:ascii="Verdana" w:hAnsi="Verdana" w:cs="Arial"/>
          <w:b/>
          <w:sz w:val="22"/>
          <w:szCs w:val="22"/>
        </w:rPr>
      </w:pPr>
      <w:r w:rsidRPr="00F026E2">
        <w:rPr>
          <w:rFonts w:ascii="Verdana" w:hAnsi="Verdana" w:cs="Arial"/>
          <w:b/>
          <w:sz w:val="22"/>
          <w:szCs w:val="22"/>
        </w:rPr>
        <w:t xml:space="preserve">PROCESSO Nº </w:t>
      </w:r>
      <w:r w:rsidR="00434D4C" w:rsidRPr="00F026E2">
        <w:rPr>
          <w:rFonts w:ascii="Verdana" w:hAnsi="Verdana" w:cs="Arial"/>
          <w:b/>
          <w:sz w:val="22"/>
          <w:szCs w:val="22"/>
        </w:rPr>
        <w:t>1328/2021</w:t>
      </w:r>
    </w:p>
    <w:p w:rsidR="00F026E2" w:rsidRDefault="00F026E2" w:rsidP="00633ABB">
      <w:pPr>
        <w:jc w:val="center"/>
        <w:rPr>
          <w:rFonts w:ascii="Verdana" w:hAnsi="Verdana" w:cs="Arial"/>
          <w:b/>
          <w:sz w:val="22"/>
          <w:szCs w:val="22"/>
        </w:rPr>
      </w:pPr>
    </w:p>
    <w:p w:rsidR="00F026E2" w:rsidRDefault="00F026E2" w:rsidP="00633ABB">
      <w:pPr>
        <w:jc w:val="center"/>
        <w:rPr>
          <w:rFonts w:ascii="Verdana" w:hAnsi="Verdana" w:cs="Arial"/>
          <w:b/>
          <w:sz w:val="22"/>
          <w:szCs w:val="22"/>
        </w:rPr>
      </w:pPr>
    </w:p>
    <w:p w:rsidR="00F026E2" w:rsidRPr="00F026E2" w:rsidRDefault="00F026E2" w:rsidP="00F026E2">
      <w:pPr>
        <w:jc w:val="right"/>
        <w:rPr>
          <w:rFonts w:ascii="Verdana" w:hAnsi="Verdana" w:cs="Arial"/>
          <w:sz w:val="18"/>
          <w:szCs w:val="18"/>
        </w:rPr>
      </w:pPr>
      <w:r w:rsidRPr="00F026E2">
        <w:rPr>
          <w:rFonts w:ascii="Verdana" w:hAnsi="Verdana" w:cs="Arial"/>
          <w:sz w:val="18"/>
          <w:szCs w:val="18"/>
        </w:rPr>
        <w:t>Araraquara, 31 de maio de 2021.</w:t>
      </w:r>
    </w:p>
    <w:p w:rsidR="00C65B9F" w:rsidRPr="00AD382A" w:rsidRDefault="00C65B9F" w:rsidP="00633ABB">
      <w:pPr>
        <w:jc w:val="center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633ABB">
      <w:pPr>
        <w:jc w:val="center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633ABB">
      <w:pPr>
        <w:jc w:val="center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633ABB">
      <w:pPr>
        <w:jc w:val="center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AD382A">
        <w:rPr>
          <w:rFonts w:ascii="Verdana" w:hAnsi="Verdana" w:cs="Arial"/>
          <w:sz w:val="18"/>
          <w:szCs w:val="18"/>
        </w:rPr>
        <w:t xml:space="preserve">Vimos, através deste, em relação à Tomada de Preços 009/2021, que tem por objeto </w:t>
      </w:r>
      <w:r w:rsidR="00434D4C" w:rsidRPr="00434D4C">
        <w:rPr>
          <w:rFonts w:ascii="Verdana" w:hAnsi="Verdana" w:cs="Arial"/>
          <w:sz w:val="18"/>
          <w:szCs w:val="18"/>
        </w:rPr>
        <w:t>CONTRATAÇÃO DE EMPRESA ESPECIALIZADA PARA A INSTALAÇÃO DE APROXIMADAMENTE 600 (SEISCENTOS) NOVOS PONTOS DE ILUMINAÇÃO PÚBLICA COM TECNOLOGIA LED, DENTRO DO PERÍMETRO URBANO E RURAL DO MUNICÍPIO DE ARARAQUARA, CONFORME MEMORIAL DESCRITIVO E DEMAIS ANEXOS QUE FAZEM PARTE DO PRESENTE EDITAL</w:t>
      </w:r>
      <w:r w:rsidR="00434D4C">
        <w:rPr>
          <w:rFonts w:ascii="Verdana" w:hAnsi="Verdana" w:cs="Arial"/>
          <w:sz w:val="18"/>
          <w:szCs w:val="18"/>
        </w:rPr>
        <w:t xml:space="preserve">, tendo em vista </w:t>
      </w:r>
      <w:r w:rsidRPr="00AD382A">
        <w:rPr>
          <w:rFonts w:ascii="Verdana" w:hAnsi="Verdana" w:cs="Arial"/>
          <w:sz w:val="18"/>
          <w:szCs w:val="18"/>
        </w:rPr>
        <w:t>IMPUGNAÇÃO impetrada pela empresa ILUMITECH CONSTRUÇÕES LTDA, expor o que segue:</w:t>
      </w: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AD382A">
        <w:rPr>
          <w:rFonts w:ascii="Verdana" w:hAnsi="Verdana" w:cs="Arial"/>
          <w:sz w:val="18"/>
          <w:szCs w:val="18"/>
        </w:rPr>
        <w:t>A empresa recorrente alega, em síntese, que o edital, em seu item 07.01.01, estaria afrontando a Lei 8.666/93, pois os requisitos para participação nos certames encontram-se nos art. 27 a 31, conforme art. 40, inciso VI, da Lei 8.666/93.</w:t>
      </w: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AD382A">
        <w:rPr>
          <w:rFonts w:ascii="Verdana" w:hAnsi="Verdana" w:cs="Arial"/>
          <w:sz w:val="18"/>
          <w:szCs w:val="18"/>
        </w:rPr>
        <w:t>Alega que solicitar o cadastro daquelas empresas que já o possuem não seria repreensível, porém condicionar sua apresentação de eventuais interessados frustra o caráter competitivo do certame, inclusive da impugnante.</w:t>
      </w: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AD382A">
        <w:rPr>
          <w:rFonts w:ascii="Verdana" w:hAnsi="Verdana" w:cs="Arial"/>
          <w:sz w:val="18"/>
          <w:szCs w:val="18"/>
        </w:rPr>
        <w:t xml:space="preserve">Claramente a impugnante encontra-se equivocada, pois tal exigência não está </w:t>
      </w:r>
      <w:proofErr w:type="gramStart"/>
      <w:r w:rsidRPr="00AD382A">
        <w:rPr>
          <w:rFonts w:ascii="Verdana" w:hAnsi="Verdana" w:cs="Arial"/>
          <w:sz w:val="18"/>
          <w:szCs w:val="18"/>
        </w:rPr>
        <w:t>desacordo</w:t>
      </w:r>
      <w:proofErr w:type="gramEnd"/>
      <w:r w:rsidRPr="00AD382A">
        <w:rPr>
          <w:rFonts w:ascii="Verdana" w:hAnsi="Verdana" w:cs="Arial"/>
          <w:sz w:val="18"/>
          <w:szCs w:val="18"/>
        </w:rPr>
        <w:t xml:space="preserve"> com os ditames legais. O presente certame é uma Tomada de Preços e como reza o </w:t>
      </w:r>
      <w:proofErr w:type="spellStart"/>
      <w:r w:rsidRPr="00AD382A">
        <w:rPr>
          <w:rFonts w:ascii="Verdana" w:hAnsi="Verdana" w:cs="Arial"/>
          <w:sz w:val="18"/>
          <w:szCs w:val="18"/>
        </w:rPr>
        <w:t>art</w:t>
      </w:r>
      <w:proofErr w:type="spellEnd"/>
      <w:r w:rsidRPr="00AD382A">
        <w:rPr>
          <w:rFonts w:ascii="Verdana" w:hAnsi="Verdana" w:cs="Arial"/>
          <w:sz w:val="18"/>
          <w:szCs w:val="18"/>
        </w:rPr>
        <w:t>, 22 da Lei 8.666/93, os participantes deverão estar devidamente cadastrados.</w:t>
      </w: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C65B9F" w:rsidRPr="00AD382A" w:rsidRDefault="00C65B9F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AD382A">
        <w:rPr>
          <w:rFonts w:ascii="Verdana" w:hAnsi="Verdana" w:cs="Arial"/>
          <w:sz w:val="18"/>
          <w:szCs w:val="18"/>
        </w:rPr>
        <w:t>Reza o referido artigo:</w:t>
      </w:r>
    </w:p>
    <w:p w:rsidR="00AD382A" w:rsidRPr="00AD382A" w:rsidRDefault="00AD382A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  <w:r w:rsidRPr="005054FA">
        <w:rPr>
          <w:rFonts w:ascii="Verdana" w:hAnsi="Verdana" w:cs="Arial"/>
          <w:i/>
          <w:sz w:val="18"/>
          <w:szCs w:val="18"/>
        </w:rPr>
        <w:t>Art. 22.  São modalidades de licitação:</w:t>
      </w: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  <w:r w:rsidRPr="005054FA">
        <w:rPr>
          <w:rFonts w:ascii="Verdana" w:hAnsi="Verdana" w:cs="Arial"/>
          <w:i/>
          <w:sz w:val="18"/>
          <w:szCs w:val="18"/>
        </w:rPr>
        <w:t>....</w:t>
      </w: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  <w:r w:rsidRPr="005054FA">
        <w:rPr>
          <w:rFonts w:ascii="Verdana" w:hAnsi="Verdana" w:cs="Arial"/>
          <w:i/>
          <w:sz w:val="18"/>
          <w:szCs w:val="18"/>
        </w:rPr>
        <w:t>II - </w:t>
      </w:r>
      <w:proofErr w:type="gramStart"/>
      <w:r w:rsidRPr="005054FA">
        <w:rPr>
          <w:rFonts w:ascii="Verdana" w:hAnsi="Verdana" w:cs="Arial"/>
          <w:i/>
          <w:sz w:val="18"/>
          <w:szCs w:val="18"/>
        </w:rPr>
        <w:t>tomada</w:t>
      </w:r>
      <w:proofErr w:type="gramEnd"/>
      <w:r w:rsidRPr="005054FA">
        <w:rPr>
          <w:rFonts w:ascii="Verdana" w:hAnsi="Verdana" w:cs="Arial"/>
          <w:i/>
          <w:sz w:val="18"/>
          <w:szCs w:val="18"/>
        </w:rPr>
        <w:t xml:space="preserve"> de preços;</w:t>
      </w: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  <w:r w:rsidRPr="005054FA">
        <w:rPr>
          <w:rFonts w:ascii="Verdana" w:hAnsi="Verdana" w:cs="Arial"/>
          <w:i/>
          <w:sz w:val="18"/>
          <w:szCs w:val="18"/>
        </w:rPr>
        <w:t>......</w:t>
      </w: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</w:p>
    <w:p w:rsidR="00AD382A" w:rsidRPr="005054FA" w:rsidRDefault="00AD382A" w:rsidP="00C65B9F">
      <w:pPr>
        <w:ind w:firstLine="1134"/>
        <w:jc w:val="both"/>
        <w:rPr>
          <w:rFonts w:ascii="Verdana" w:hAnsi="Verdana" w:cs="Arial"/>
          <w:i/>
          <w:sz w:val="18"/>
          <w:szCs w:val="18"/>
        </w:rPr>
      </w:pPr>
      <w:r w:rsidRPr="005054FA">
        <w:rPr>
          <w:rFonts w:ascii="Verdana" w:hAnsi="Verdana" w:cs="Arial"/>
          <w:i/>
          <w:sz w:val="18"/>
          <w:szCs w:val="18"/>
        </w:rPr>
        <w:t>§ 2</w:t>
      </w:r>
      <w:proofErr w:type="gramStart"/>
      <w:r w:rsidRPr="005054FA">
        <w:rPr>
          <w:rFonts w:ascii="Verdana" w:hAnsi="Verdana" w:cs="Arial"/>
          <w:i/>
          <w:sz w:val="18"/>
          <w:szCs w:val="18"/>
          <w:u w:val="single"/>
          <w:vertAlign w:val="superscript"/>
        </w:rPr>
        <w:t>o</w:t>
      </w:r>
      <w:r w:rsidRPr="005054FA">
        <w:rPr>
          <w:rFonts w:ascii="Verdana" w:hAnsi="Verdana" w:cs="Arial"/>
          <w:i/>
          <w:sz w:val="18"/>
          <w:szCs w:val="18"/>
        </w:rPr>
        <w:t>  Tomada</w:t>
      </w:r>
      <w:proofErr w:type="gramEnd"/>
      <w:r w:rsidRPr="005054FA">
        <w:rPr>
          <w:rFonts w:ascii="Verdana" w:hAnsi="Verdana" w:cs="Arial"/>
          <w:i/>
          <w:sz w:val="18"/>
          <w:szCs w:val="18"/>
        </w:rPr>
        <w:t xml:space="preserve"> de preços é a modalidade de licitação entre interessados devidamente cadastrados ou que atenderem a todas as condições exigidas para cadastramento até o terceiro dia anterior à data do recebimento das propostas, observada a necessária qualificação.</w:t>
      </w:r>
    </w:p>
    <w:p w:rsidR="00AD382A" w:rsidRDefault="00AD382A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AD382A" w:rsidRDefault="00AD382A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Portanto, não resta dúvidas quanto à legalidade da exigência.</w:t>
      </w:r>
    </w:p>
    <w:p w:rsidR="00AD382A" w:rsidRDefault="00AD382A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AD382A" w:rsidRDefault="00AD382A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 xml:space="preserve">Ademais, incompreensíveis as ponderações da </w:t>
      </w:r>
      <w:r w:rsidR="00F026E2">
        <w:rPr>
          <w:rFonts w:ascii="Verdana" w:hAnsi="Verdana" w:cs="Arial"/>
          <w:sz w:val="18"/>
          <w:szCs w:val="18"/>
        </w:rPr>
        <w:t>impugnante</w:t>
      </w:r>
      <w:r>
        <w:rPr>
          <w:rFonts w:ascii="Verdana" w:hAnsi="Verdana" w:cs="Arial"/>
          <w:sz w:val="18"/>
          <w:szCs w:val="18"/>
        </w:rPr>
        <w:t xml:space="preserve"> em relação ao item combatido, pois, além de já ter participado e sagrar-se vencedora </w:t>
      </w:r>
      <w:r w:rsidR="00F026E2">
        <w:rPr>
          <w:rFonts w:ascii="Verdana" w:hAnsi="Verdana" w:cs="Arial"/>
          <w:sz w:val="18"/>
          <w:szCs w:val="18"/>
        </w:rPr>
        <w:t>em</w:t>
      </w:r>
      <w:r>
        <w:rPr>
          <w:rFonts w:ascii="Verdana" w:hAnsi="Verdana" w:cs="Arial"/>
          <w:sz w:val="18"/>
          <w:szCs w:val="18"/>
        </w:rPr>
        <w:t xml:space="preserve"> outras Tomadas de Preços, possui o Certificado de Registro Cadastral, cabendo-lhe, no entanto, somente atuali</w:t>
      </w:r>
      <w:r w:rsidR="005054FA">
        <w:rPr>
          <w:rFonts w:ascii="Verdana" w:hAnsi="Verdana" w:cs="Arial"/>
          <w:sz w:val="18"/>
          <w:szCs w:val="18"/>
        </w:rPr>
        <w:t>zado, caso esteja desatualizado, podendo fazê-lo até antes da abertura da licitação. O prazo mencionado no inciso 2º do art. 22 é para os fornecedores que não possuem cadastro e desejem participar do certame, juntando condições para tanto.</w:t>
      </w:r>
      <w:r w:rsidR="00AC4585">
        <w:rPr>
          <w:rFonts w:ascii="Verdana" w:hAnsi="Verdana" w:cs="Arial"/>
          <w:sz w:val="18"/>
          <w:szCs w:val="18"/>
        </w:rPr>
        <w:t xml:space="preserve"> Tanto é sabido pela impugnante, que a mesma possui os cadastros 070/2019, 028/2020, 053/2020, 115/2020, ou seja, vem atualizando seu cadastro constantemente.</w:t>
      </w:r>
    </w:p>
    <w:p w:rsidR="00167A10" w:rsidRDefault="00167A10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167A10" w:rsidRDefault="00167A10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Quanto às questões t</w:t>
      </w:r>
      <w:r w:rsidR="00BF306D">
        <w:rPr>
          <w:rFonts w:ascii="Verdana" w:hAnsi="Verdana" w:cs="Arial"/>
          <w:sz w:val="18"/>
          <w:szCs w:val="18"/>
        </w:rPr>
        <w:t>écnicas alega o que segue:</w:t>
      </w:r>
    </w:p>
    <w:p w:rsidR="00BF306D" w:rsidRDefault="00BF306D" w:rsidP="00C65B9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b) Item 07.04 do Edital: Apresentação de catálogos, Fichas Técnicas e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F306D">
        <w:rPr>
          <w:rFonts w:ascii="Verdana" w:hAnsi="Verdana" w:cs="Arial"/>
          <w:sz w:val="18"/>
          <w:szCs w:val="18"/>
        </w:rPr>
        <w:t>datasheets</w:t>
      </w:r>
      <w:proofErr w:type="spellEnd"/>
      <w:r w:rsidRPr="00BF306D">
        <w:rPr>
          <w:rFonts w:ascii="Verdana" w:hAnsi="Verdana" w:cs="Arial"/>
          <w:sz w:val="18"/>
          <w:szCs w:val="18"/>
        </w:rPr>
        <w:t>, dos itens 3.05 e 3.06 do Memorial Descritivo. Produtos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não dispõem de tais documentos.</w:t>
      </w:r>
    </w:p>
    <w:p w:rsid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Verifica-se que o item 07.04 do Edital alberga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exigência que não pode ser cumprida pelos licitantes. Isso porque, tal cláusula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F306D">
        <w:rPr>
          <w:rFonts w:ascii="Verdana" w:hAnsi="Verdana" w:cs="Arial"/>
          <w:sz w:val="18"/>
          <w:szCs w:val="18"/>
        </w:rPr>
        <w:t>editalícia</w:t>
      </w:r>
      <w:proofErr w:type="spellEnd"/>
      <w:r w:rsidRPr="00BF306D">
        <w:rPr>
          <w:rFonts w:ascii="Verdana" w:hAnsi="Verdana" w:cs="Arial"/>
          <w:sz w:val="18"/>
          <w:szCs w:val="18"/>
        </w:rPr>
        <w:t xml:space="preserve"> prevê a necessidade de apresentação de catálogos, fichas técnicas e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BF306D">
        <w:rPr>
          <w:rFonts w:ascii="Verdana" w:hAnsi="Verdana" w:cs="Arial"/>
          <w:sz w:val="18"/>
          <w:szCs w:val="18"/>
        </w:rPr>
        <w:t>datasheets</w:t>
      </w:r>
      <w:proofErr w:type="spellEnd"/>
      <w:r w:rsidRPr="00BF306D">
        <w:rPr>
          <w:rFonts w:ascii="Verdana" w:hAnsi="Verdana" w:cs="Arial"/>
          <w:sz w:val="18"/>
          <w:szCs w:val="18"/>
        </w:rPr>
        <w:t xml:space="preserve"> de itens que não os possuem. Veja-se:</w:t>
      </w:r>
    </w:p>
    <w:p w:rsidR="00F177AD" w:rsidRPr="00BF306D" w:rsidRDefault="00F177AD" w:rsidP="00BF306D">
      <w:pPr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07.04. DECLARAÇÃO DE QUE, CASO SE SAGRE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VENCEDORA DO CERTAME, APRESENTARÁ, EM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ATÉ 03 DIAS DA SOLICITAÇÃO, CATÁLOGOS,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FICHAS TÉCNICAS E DATASHEETS CONTENDO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TODAS AS ESPECIFICAÇÕES E CERTIFICADOS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SOLICITADOS EM CADA ITEM REFERENTE À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DESCRIÇÃO DO MATERIAL NESSE MEMORIAL,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BEM COMO AMOSTRA DOS PRODUTOS DOS ITENS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3.03, 3.05 E 3.06 DO MEMORIAL DESCRITIVO.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Tais itens constantes do memorial descritivo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encontram-se abaixo descritos: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3.05</w:t>
      </w:r>
      <w:r>
        <w:rPr>
          <w:rFonts w:ascii="Verdana" w:hAnsi="Verdana" w:cs="Arial"/>
          <w:sz w:val="18"/>
          <w:szCs w:val="18"/>
        </w:rPr>
        <w:t>.</w:t>
      </w:r>
      <w:r w:rsidRPr="00BF306D">
        <w:rPr>
          <w:rFonts w:ascii="Verdana" w:hAnsi="Verdana" w:cs="Arial"/>
          <w:sz w:val="18"/>
          <w:szCs w:val="18"/>
        </w:rPr>
        <w:t>Relé fotocélula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- 220V (+-10%)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Com contato NF (em caso de falha no relé a luminária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proofErr w:type="gramStart"/>
      <w:r w:rsidRPr="00BF306D">
        <w:rPr>
          <w:rFonts w:ascii="Verdana" w:hAnsi="Verdana" w:cs="Arial"/>
          <w:sz w:val="18"/>
          <w:szCs w:val="18"/>
        </w:rPr>
        <w:t>permanece</w:t>
      </w:r>
      <w:proofErr w:type="gramEnd"/>
      <w:r w:rsidRPr="00BF306D">
        <w:rPr>
          <w:rFonts w:ascii="Verdana" w:hAnsi="Verdana" w:cs="Arial"/>
          <w:sz w:val="18"/>
          <w:szCs w:val="18"/>
        </w:rPr>
        <w:t xml:space="preserve"> acesa)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</w:t>
      </w:r>
      <w:proofErr w:type="spellStart"/>
      <w:r w:rsidRPr="00BF306D">
        <w:rPr>
          <w:rFonts w:ascii="Verdana" w:hAnsi="Verdana" w:cs="Arial"/>
          <w:sz w:val="18"/>
          <w:szCs w:val="18"/>
        </w:rPr>
        <w:t>Potencia</w:t>
      </w:r>
      <w:proofErr w:type="spellEnd"/>
      <w:r w:rsidRPr="00BF306D">
        <w:rPr>
          <w:rFonts w:ascii="Verdana" w:hAnsi="Verdana" w:cs="Arial"/>
          <w:sz w:val="18"/>
          <w:szCs w:val="18"/>
        </w:rPr>
        <w:t xml:space="preserve"> de 1200VA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Tampa em polipropileno</w:t>
      </w:r>
    </w:p>
    <w:p w:rsidR="00BF306D" w:rsidRPr="00BF306D" w:rsidRDefault="00BF306D" w:rsidP="00BF306D">
      <w:pPr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Filtro de tempo (histerese) de ao menos 1 minuto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Liga em menos de 20 Lux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Desliga em mais de 20 Lux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Proteção contra surtos de tensão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3.06 Placa de identificação metálica galvanizada a fogo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com no mínimo 25x5cm, contendo uma letra e quatro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números, nas cores preta e amarela, escrita de 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indelével e de modo que a pintura dure no mínimo 20 anos.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Fixação por arrebites ou parafuso auto </w:t>
      </w:r>
      <w:proofErr w:type="spellStart"/>
      <w:r w:rsidRPr="00BF306D">
        <w:rPr>
          <w:rFonts w:ascii="Verdana" w:hAnsi="Verdana" w:cs="Arial"/>
          <w:sz w:val="18"/>
          <w:szCs w:val="18"/>
        </w:rPr>
        <w:t>brocante</w:t>
      </w:r>
      <w:proofErr w:type="spellEnd"/>
      <w:r w:rsidRPr="00BF306D">
        <w:rPr>
          <w:rFonts w:ascii="Verdana" w:hAnsi="Verdana" w:cs="Arial"/>
          <w:sz w:val="18"/>
          <w:szCs w:val="18"/>
        </w:rPr>
        <w:t>.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Como se vê, tais itens não possuem, por sua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 xml:space="preserve">natureza, catálogos, fichas técnicas ou </w:t>
      </w:r>
      <w:proofErr w:type="spellStart"/>
      <w:r w:rsidRPr="00BF306D">
        <w:rPr>
          <w:rFonts w:ascii="Verdana" w:hAnsi="Verdana" w:cs="Arial"/>
          <w:sz w:val="18"/>
          <w:szCs w:val="18"/>
        </w:rPr>
        <w:t>datasheets</w:t>
      </w:r>
      <w:proofErr w:type="spellEnd"/>
      <w:r w:rsidRPr="00BF306D">
        <w:rPr>
          <w:rFonts w:ascii="Verdana" w:hAnsi="Verdana" w:cs="Arial"/>
          <w:sz w:val="18"/>
          <w:szCs w:val="18"/>
        </w:rPr>
        <w:t xml:space="preserve"> que possam ser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apresentados pelos licitantes, razão porque se entende que se trata de mero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equívoco que pode ser facilmente suprido.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Acredita-se que os itens a que o Edital se remeteria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eram os 3.01 e 3.02, além do 3.03 já constante do item 07.04 do instrumento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convocatório, os quais descrevem as luminárias em LED a serem fornecidas pelos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licitantes: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3.01 Luminária retangular tipo pública LED de maior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potência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 xml:space="preserve">- Tomada NEMA 7 pinos para </w:t>
      </w:r>
      <w:proofErr w:type="spellStart"/>
      <w:r w:rsidRPr="00BF306D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Potência total máxima: 200W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  <w:r w:rsidRPr="00BF306D">
        <w:rPr>
          <w:rFonts w:ascii="Verdana" w:hAnsi="Verdana" w:cs="Arial"/>
          <w:sz w:val="18"/>
          <w:szCs w:val="18"/>
        </w:rPr>
        <w:t>/W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Fluxo luminoso mínimo da luminária: 24500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Temperatura de cor: 5000k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Grau de proteção mínimo: IP66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Tensão de operação: 110 a 250 V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Vida útil mínima com L70: 50.000 horas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Possuir homologação no INMETRO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3.02 Luminária retangular tipo pública LED de média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potência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Possuir tomada NEMA 7 pinos para </w:t>
      </w:r>
      <w:proofErr w:type="spellStart"/>
      <w:r w:rsidRPr="00BF306D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Potência total máxima: 120W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  <w:r w:rsidRPr="00BF306D">
        <w:rPr>
          <w:rFonts w:ascii="Verdana" w:hAnsi="Verdana" w:cs="Arial"/>
          <w:sz w:val="18"/>
          <w:szCs w:val="18"/>
        </w:rPr>
        <w:t>/W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Fluxo luminoso mínimo da luminária: 15000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Temperatura de cor: 5000k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Grau de proteção mínimo: IP66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Tensão de operação: 110 a 250 V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Vida útil mínima com L70: 50.000 horas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Possuir homologação no INMETRO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3.03 Luminária retangular tipo pública LED de menor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potência: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Possuir tomada NEMA 7 pinos para </w:t>
      </w:r>
      <w:proofErr w:type="spellStart"/>
      <w:r w:rsidRPr="00BF306D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Potência total máxima: 100W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  <w:r w:rsidRPr="00BF306D">
        <w:rPr>
          <w:rFonts w:ascii="Verdana" w:hAnsi="Verdana" w:cs="Arial"/>
          <w:sz w:val="18"/>
          <w:szCs w:val="18"/>
        </w:rPr>
        <w:t>/W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Fluxo luminoso mínimo da luminária: 11000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Temperatura de cor: 5000k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Grau de proteção mínimo: IP66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Tensão de operação: 110 a 250 V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Vida útil mínima com L70: 50.000 horas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Possuir homologação no INMETRO</w:t>
      </w:r>
      <w:r>
        <w:rPr>
          <w:rFonts w:ascii="Verdana" w:hAnsi="Verdana" w:cs="Arial"/>
          <w:sz w:val="18"/>
          <w:szCs w:val="18"/>
        </w:rPr>
        <w:t>.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Desse modo, patente a necessidade de reparos no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edital, a fim de evitar a frustração da competitividade do certame, e seu próprio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esvaziamento, tendo em vista que não será possível apresentar os documentos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solicitados com relação aos itens 3.05 e 3.06 do Memorial Descritivo, nos termos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expostos.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c) Item 03.01, 03.02, 03.03 e 03.06 do Memorial Descritivo: Exigências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técnicas pormenorizadas que restringem a competição. Especificações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das luminárias restritivas. Placa de identificação cuja pintura dure no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mínimo 20 anos. Inviabilidade.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Conforme se depreende da análise do item 3.06 do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memorial Descritivo, é exigida Placa de identificação metálica cuja pintura dure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no mínimo 20 anos, da seguinte forma: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3.06 Placa de identificação metálica galvanizada a fogo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com no mínimo 25x5cm, contendo uma letra e quatro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números, nas cores preta e amarela, escrita de forma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indelével e de modo que a pintura dure no mínimo 20 anos.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Fixação por arrebites ou parafuso auto </w:t>
      </w:r>
      <w:proofErr w:type="spellStart"/>
      <w:r w:rsidRPr="00BF306D">
        <w:rPr>
          <w:rFonts w:ascii="Verdana" w:hAnsi="Verdana" w:cs="Arial"/>
          <w:sz w:val="18"/>
          <w:szCs w:val="18"/>
        </w:rPr>
        <w:t>brocante</w:t>
      </w:r>
      <w:proofErr w:type="spellEnd"/>
      <w:r w:rsidRPr="00BF306D">
        <w:rPr>
          <w:rFonts w:ascii="Verdana" w:hAnsi="Verdana" w:cs="Arial"/>
          <w:sz w:val="18"/>
          <w:szCs w:val="18"/>
        </w:rPr>
        <w:t>.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Entretanto, esta caracterização técnica se torna</w:t>
      </w:r>
      <w:r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condição restritiva na medida em que não existe, no mercado, nenhuma forma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de fazer com que as plaquetas durem pelo menos 20 anos, ainda mais se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tratando de metal galvanizado que é reconhecidamente de qualidade inferior.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Dentre os materiais comumente utilizados para este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 xml:space="preserve">tipo de serviço, o mais resistente é o alumínio impresso por </w:t>
      </w:r>
      <w:proofErr w:type="spellStart"/>
      <w:r w:rsidRPr="00BF306D">
        <w:rPr>
          <w:rFonts w:ascii="Verdana" w:hAnsi="Verdana" w:cs="Arial"/>
          <w:sz w:val="18"/>
          <w:szCs w:val="18"/>
        </w:rPr>
        <w:t>fotoanopdização</w:t>
      </w:r>
      <w:proofErr w:type="spellEnd"/>
      <w:r w:rsidRPr="00BF306D">
        <w:rPr>
          <w:rFonts w:ascii="Verdana" w:hAnsi="Verdana" w:cs="Arial"/>
          <w:sz w:val="18"/>
          <w:szCs w:val="18"/>
        </w:rPr>
        <w:t>, o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qual dura de 10 a 15 anos. Entretanto, se for utilizada gravação em baixo relevo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com cor, que utiliza outro processo, a tinta não dura tanto tempo, permanecendo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somente a gravação.</w:t>
      </w:r>
    </w:p>
    <w:p w:rsidR="00EB696F" w:rsidRPr="00BF306D" w:rsidRDefault="00EB696F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Além disso, deve-se considerar o quando contido nos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itens 3.01, 3.02 e 3.03 do Projeto Básico (Memorial Descritivo), no que tange à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Temperatura de Cor, que assim dispõe: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3.01 Luminária retangular tipo pública LED de maior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potência</w:t>
      </w:r>
      <w:r w:rsidR="00EB696F">
        <w:rPr>
          <w:rFonts w:ascii="Verdana" w:hAnsi="Verdana" w:cs="Arial"/>
          <w:sz w:val="18"/>
          <w:szCs w:val="18"/>
        </w:rPr>
        <w:t>.</w:t>
      </w:r>
    </w:p>
    <w:p w:rsidR="00EB696F" w:rsidRPr="00BF306D" w:rsidRDefault="00EB696F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Tomada NEMA 7 pinos para </w:t>
      </w:r>
      <w:proofErr w:type="spellStart"/>
      <w:r w:rsidRPr="00BF306D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Potência total máxima: 200W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  <w:r w:rsidRPr="00BF306D">
        <w:rPr>
          <w:rFonts w:ascii="Verdana" w:hAnsi="Verdana" w:cs="Arial"/>
          <w:sz w:val="18"/>
          <w:szCs w:val="18"/>
        </w:rPr>
        <w:t>/W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Fluxo luminoso mínimo da luminária: 24500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Temperatura de cor: 5000k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Grau de proteção mínimo: IP66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Tensão de operação: 110 a 250 V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Vida útil mínima com L70: 50.000 horas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Possuir homologação no INMETRO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3.02 Luminária retangular tipo pública LED de média</w:t>
      </w:r>
      <w:r w:rsidR="00EB696F">
        <w:rPr>
          <w:rFonts w:ascii="Verdana" w:hAnsi="Verdana" w:cs="Arial"/>
          <w:sz w:val="18"/>
          <w:szCs w:val="18"/>
        </w:rPr>
        <w:t xml:space="preserve"> </w:t>
      </w:r>
      <w:r w:rsidRPr="00BF306D">
        <w:rPr>
          <w:rFonts w:ascii="Verdana" w:hAnsi="Verdana" w:cs="Arial"/>
          <w:sz w:val="18"/>
          <w:szCs w:val="18"/>
        </w:rPr>
        <w:t>potência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Possuir tomada NEMA 7 pinos para </w:t>
      </w:r>
      <w:proofErr w:type="spellStart"/>
      <w:r w:rsidRPr="00BF306D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Potência total máxima: 120W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  <w:r w:rsidRPr="00BF306D">
        <w:rPr>
          <w:rFonts w:ascii="Verdana" w:hAnsi="Verdana" w:cs="Arial"/>
          <w:sz w:val="18"/>
          <w:szCs w:val="18"/>
        </w:rPr>
        <w:t>/W</w:t>
      </w:r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 xml:space="preserve">- Fluxo luminoso mínimo da luminária: 15000 </w:t>
      </w:r>
      <w:proofErr w:type="spellStart"/>
      <w:r w:rsidRPr="00BF306D">
        <w:rPr>
          <w:rFonts w:ascii="Verdana" w:hAnsi="Verdana" w:cs="Arial"/>
          <w:sz w:val="18"/>
          <w:szCs w:val="18"/>
        </w:rPr>
        <w:t>lm</w:t>
      </w:r>
      <w:proofErr w:type="spellEnd"/>
    </w:p>
    <w:p w:rsidR="00BF306D" w:rsidRP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Temperatura de cor: 5000k</w:t>
      </w:r>
    </w:p>
    <w:p w:rsidR="00BF306D" w:rsidRDefault="00BF306D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BF306D">
        <w:rPr>
          <w:rFonts w:ascii="Verdana" w:hAnsi="Verdana" w:cs="Arial"/>
          <w:sz w:val="18"/>
          <w:szCs w:val="18"/>
        </w:rPr>
        <w:t>- Grau de proteção mínimo: IP66</w:t>
      </w:r>
    </w:p>
    <w:p w:rsidR="00EB696F" w:rsidRDefault="00EB696F" w:rsidP="00BF306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Tensão de operação: 110 a 250 V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Vida útil mínima com L70: 50.000 horas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Possuir homologação no INMETRO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3.03 Luminária retangular tipo pública LED de menor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potência: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 xml:space="preserve">- Possuir tomada NEMA 7 pinos para </w:t>
      </w:r>
      <w:proofErr w:type="spellStart"/>
      <w:r w:rsidRPr="00EB696F">
        <w:rPr>
          <w:rFonts w:ascii="Verdana" w:hAnsi="Verdana" w:cs="Arial"/>
          <w:sz w:val="18"/>
          <w:szCs w:val="18"/>
        </w:rPr>
        <w:t>telegestão</w:t>
      </w:r>
      <w:proofErr w:type="spellEnd"/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Potência total máxima: 100W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 xml:space="preserve">- Eficiência mínima da luminária: 145 </w:t>
      </w:r>
      <w:proofErr w:type="spellStart"/>
      <w:r w:rsidRPr="00EB696F">
        <w:rPr>
          <w:rFonts w:ascii="Verdana" w:hAnsi="Verdana" w:cs="Arial"/>
          <w:sz w:val="18"/>
          <w:szCs w:val="18"/>
        </w:rPr>
        <w:t>lm</w:t>
      </w:r>
      <w:proofErr w:type="spellEnd"/>
      <w:r w:rsidRPr="00EB696F">
        <w:rPr>
          <w:rFonts w:ascii="Verdana" w:hAnsi="Verdana" w:cs="Arial"/>
          <w:sz w:val="18"/>
          <w:szCs w:val="18"/>
        </w:rPr>
        <w:t>/W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 xml:space="preserve">- Fluxo luminoso mínimo da luminária: 11000 </w:t>
      </w:r>
      <w:proofErr w:type="spellStart"/>
      <w:r w:rsidRPr="00EB696F">
        <w:rPr>
          <w:rFonts w:ascii="Verdana" w:hAnsi="Verdana" w:cs="Arial"/>
          <w:sz w:val="18"/>
          <w:szCs w:val="18"/>
        </w:rPr>
        <w:t>lm</w:t>
      </w:r>
      <w:proofErr w:type="spellEnd"/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Temperatura de cor: 5000k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Grau de proteção mínimo: IP66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Tensão de operação: 110 a 250 V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Vida útil mínima com L70: 50.000 horas</w:t>
      </w: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- Possuir homologação no INMETRO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A especificação restringe a Temperatura de Cor em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5.000K deixando de fora do certame os fabricantes que possuem produtos com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Temperaturas de Cor aproximadas, como 4.000K, restringindo a competitividade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do certame sem justificativa cabível, uma vez que o espectro de luz branca entre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4.000K e 5.000K é muito similar e a sensação de iluminação aos olhos humanos é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praticamente a mesma, não causando, portanto, nenhum prejuízo ao projeto e à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iluminação dos logradouros do município.</w:t>
      </w:r>
    </w:p>
    <w:p w:rsidR="00F177AD" w:rsidRPr="00EB696F" w:rsidRDefault="00F177AD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Ademais, existem estudos internacionais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comprovam o prejuízo à saúde humana causado por temperaturas de cor elevadas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como o de 5.000K.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Além disso, estes mesmos itens 3.01, 3.02 e 3.03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apresentam incoerência entre potência, eficiência e fluxo luminoso. Por exemplo,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 xml:space="preserve">o item 3.01 define potência máxima de 200W, eficiência mínima de 145lm/W </w:t>
      </w:r>
      <w:proofErr w:type="gramStart"/>
      <w:r w:rsidRPr="00EB696F">
        <w:rPr>
          <w:rFonts w:ascii="Verdana" w:hAnsi="Verdana" w:cs="Arial"/>
          <w:sz w:val="18"/>
          <w:szCs w:val="18"/>
        </w:rPr>
        <w:t>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Fluxo</w:t>
      </w:r>
      <w:proofErr w:type="gramEnd"/>
      <w:r w:rsidRPr="00EB696F">
        <w:rPr>
          <w:rFonts w:ascii="Verdana" w:hAnsi="Verdana" w:cs="Arial"/>
          <w:sz w:val="18"/>
          <w:szCs w:val="18"/>
        </w:rPr>
        <w:t xml:space="preserve"> luminoso mínimo de 24.500lm. Ocorre que matematicamente Eficiência =</w:t>
      </w:r>
      <w:r w:rsidRPr="00EB696F">
        <w:t xml:space="preserve"> </w:t>
      </w:r>
      <w:r w:rsidRPr="00EB696F">
        <w:rPr>
          <w:rFonts w:ascii="Verdana" w:hAnsi="Verdana" w:cs="Arial"/>
          <w:sz w:val="18"/>
          <w:szCs w:val="18"/>
        </w:rPr>
        <w:t>Fluxo / Potência, o que não é respeitado nos valores acima. Vejamos no cálculo: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 xml:space="preserve">Eficiência = 24.500/200 = 122.5 </w:t>
      </w:r>
      <w:proofErr w:type="spellStart"/>
      <w:r w:rsidRPr="00EB696F">
        <w:rPr>
          <w:rFonts w:ascii="Verdana" w:hAnsi="Verdana" w:cs="Arial"/>
          <w:sz w:val="18"/>
          <w:szCs w:val="18"/>
        </w:rPr>
        <w:t>lm</w:t>
      </w:r>
      <w:proofErr w:type="spellEnd"/>
      <w:r w:rsidRPr="00EB696F">
        <w:rPr>
          <w:rFonts w:ascii="Verdana" w:hAnsi="Verdana" w:cs="Arial"/>
          <w:sz w:val="18"/>
          <w:szCs w:val="18"/>
        </w:rPr>
        <w:t>/W, ao invés dos 145lm/W especificados.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O mesmo problema ocorre nas especificações dos itens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3.02 e 3.03, causando confusão na especificação e impossibilitando a oferta precisa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do produto que atenda ao Edital.</w:t>
      </w: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Nesse sentido, duas ordens de considerações devem ser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levadas em conta no exame da irregularidade ora referenciada.</w:t>
      </w:r>
    </w:p>
    <w:p w:rsidR="00EB696F" w:rsidRP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proofErr w:type="spellStart"/>
      <w:r w:rsidRPr="00EB696F">
        <w:rPr>
          <w:rFonts w:ascii="Verdana" w:hAnsi="Verdana" w:cs="Arial"/>
          <w:sz w:val="18"/>
          <w:szCs w:val="18"/>
        </w:rPr>
        <w:t>Por</w:t>
      </w:r>
      <w:proofErr w:type="spellEnd"/>
      <w:r w:rsidRPr="00EB696F">
        <w:rPr>
          <w:rFonts w:ascii="Verdana" w:hAnsi="Verdana" w:cs="Arial"/>
          <w:sz w:val="18"/>
          <w:szCs w:val="18"/>
        </w:rPr>
        <w:t xml:space="preserve"> primeiro, deve-se ter em mente que 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discricionariedade possuída pela autoridade promotora do certame não é, sob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 xml:space="preserve">hipótese alguma, ilimitada. </w:t>
      </w: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Como bem adverte o professor Celso Antônio Bandeira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de Mello:</w:t>
      </w:r>
    </w:p>
    <w:p w:rsidR="00077A75" w:rsidRPr="00EB696F" w:rsidRDefault="00077A75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EB696F" w:rsidRDefault="00EB696F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EB696F">
        <w:rPr>
          <w:rFonts w:ascii="Verdana" w:hAnsi="Verdana" w:cs="Arial"/>
          <w:sz w:val="18"/>
          <w:szCs w:val="18"/>
        </w:rPr>
        <w:t>Uma vez que atividade administrativa é desempenho de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função e dado que função é o cumprimento obrigatório do</w:t>
      </w:r>
      <w:r>
        <w:rPr>
          <w:rFonts w:ascii="Verdana" w:hAnsi="Verdana" w:cs="Arial"/>
          <w:sz w:val="18"/>
          <w:szCs w:val="18"/>
        </w:rPr>
        <w:t xml:space="preserve"> dever de atingir uma fi</w:t>
      </w:r>
      <w:r w:rsidRPr="00EB696F">
        <w:rPr>
          <w:rFonts w:ascii="Verdana" w:hAnsi="Verdana" w:cs="Arial"/>
          <w:sz w:val="18"/>
          <w:szCs w:val="18"/>
        </w:rPr>
        <w:t>nalidade antecipadamente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estabelecida através do manejo de poderes exercitáveis no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interesse de outrem, e estabelecido que a lei sempre 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sempre impõe, como é natural, o dever de buscar-se 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medida que atenda de modo preciso sua finalidade, resulta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certo que a liberdade administrativa acaso conferida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por uma norma de direito não significa sempre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liberdade de eleição entre indiferentes jurídicos. Não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significa poder de opções livres, como as do direito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 xml:space="preserve">privado. Significa o dever </w:t>
      </w:r>
      <w:proofErr w:type="gramStart"/>
      <w:r w:rsidRPr="00EB696F">
        <w:rPr>
          <w:rFonts w:ascii="Verdana" w:hAnsi="Verdana" w:cs="Arial"/>
          <w:sz w:val="18"/>
          <w:szCs w:val="18"/>
        </w:rPr>
        <w:t>funcional(</w:t>
      </w:r>
      <w:proofErr w:type="gramEnd"/>
      <w:r w:rsidRPr="00EB696F">
        <w:rPr>
          <w:rFonts w:ascii="Verdana" w:hAnsi="Verdana" w:cs="Arial"/>
          <w:sz w:val="18"/>
          <w:szCs w:val="18"/>
        </w:rPr>
        <w:t>questão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legitimidade e não de mérito) de acertar, ante a</w:t>
      </w:r>
      <w:r w:rsidR="004F3B81"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configuração do caso concreto, a providência – isto é, o</w:t>
      </w:r>
      <w:r w:rsidR="004F3B81"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ato – ideal, capaz de atingir com exatidão a finalidade</w:t>
      </w:r>
      <w:r w:rsidR="004F3B81"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da lei, dando assim satisfação ao interesse de terceiros –</w:t>
      </w:r>
      <w:r w:rsidR="004F3B81"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>interesse coletivo e não do agente – tal como firmado na</w:t>
      </w:r>
      <w:r w:rsidR="004F3B81">
        <w:rPr>
          <w:rFonts w:ascii="Verdana" w:hAnsi="Verdana" w:cs="Arial"/>
          <w:sz w:val="18"/>
          <w:szCs w:val="18"/>
        </w:rPr>
        <w:t xml:space="preserve"> </w:t>
      </w:r>
      <w:r w:rsidRPr="00EB696F">
        <w:rPr>
          <w:rFonts w:ascii="Verdana" w:hAnsi="Verdana" w:cs="Arial"/>
          <w:sz w:val="18"/>
          <w:szCs w:val="18"/>
        </w:rPr>
        <w:t xml:space="preserve">regra </w:t>
      </w:r>
      <w:proofErr w:type="spellStart"/>
      <w:r w:rsidRPr="00EB696F">
        <w:rPr>
          <w:rFonts w:ascii="Verdana" w:hAnsi="Verdana" w:cs="Arial"/>
          <w:sz w:val="18"/>
          <w:szCs w:val="18"/>
        </w:rPr>
        <w:t>aplicanda</w:t>
      </w:r>
      <w:proofErr w:type="spellEnd"/>
      <w:r w:rsidRPr="00EB696F">
        <w:rPr>
          <w:rFonts w:ascii="Verdana" w:hAnsi="Verdana" w:cs="Arial"/>
          <w:sz w:val="18"/>
          <w:szCs w:val="18"/>
        </w:rPr>
        <w:t>.</w:t>
      </w:r>
    </w:p>
    <w:p w:rsidR="00077A75" w:rsidRDefault="00077A75" w:rsidP="00EB696F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Segue-se, portanto, que a margem de liberdade gozada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pelo ente licitante para estipular as especificações técnicas do produto a ser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fornecido encontra sua origem e limites na Lei 8666/93 e nesta extensão, no art.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37, XXI da Constituição Federal, comando constitucional regulamentado por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referida norma federal.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Donde se extrai que a competência discricionária a ser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exercitada na espécie deve ser empregada única e exclusivamente para ressaltar 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particularidades do equipamento que sejam estritamente necessárias para a ótima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execução do objeto licitado.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Tal delimitação deriva da conjugação (i) da parte final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inciso XXI do art. 37 da Constituição Federal que limita a imposição de exigências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077A75">
        <w:rPr>
          <w:rFonts w:ascii="Verdana" w:hAnsi="Verdana" w:cs="Arial"/>
          <w:sz w:val="18"/>
          <w:szCs w:val="18"/>
        </w:rPr>
        <w:t>editalícias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 àquelas “indispensáveis à garantia do cumprimento das obrigações”;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(</w:t>
      </w:r>
      <w:proofErr w:type="spellStart"/>
      <w:r w:rsidRPr="00077A75">
        <w:rPr>
          <w:rFonts w:ascii="Verdana" w:hAnsi="Verdana" w:cs="Arial"/>
          <w:sz w:val="18"/>
          <w:szCs w:val="18"/>
        </w:rPr>
        <w:t>ii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) com o art. 3º, caput da Lei 8666/93, que, </w:t>
      </w:r>
      <w:proofErr w:type="spellStart"/>
      <w:r w:rsidRPr="00077A75">
        <w:rPr>
          <w:rFonts w:ascii="Verdana" w:hAnsi="Verdana" w:cs="Arial"/>
          <w:sz w:val="18"/>
          <w:szCs w:val="18"/>
        </w:rPr>
        <w:t>introjetando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 um viés finalístico,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entende que o procedimento licitatório é um meio a ser empregado para alcançar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determinado fim, qual seja, a obtenção da proposta mais vantajosa para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Administração; e (</w:t>
      </w:r>
      <w:proofErr w:type="spellStart"/>
      <w:r w:rsidRPr="00077A75">
        <w:rPr>
          <w:rFonts w:ascii="Verdana" w:hAnsi="Verdana" w:cs="Arial"/>
          <w:sz w:val="18"/>
          <w:szCs w:val="18"/>
        </w:rPr>
        <w:t>iii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) com o disposto no art. 3º, § 1º, I da Lei 8666/93, </w:t>
      </w:r>
      <w:proofErr w:type="spellStart"/>
      <w:r w:rsidRPr="00077A75">
        <w:rPr>
          <w:rFonts w:ascii="Verdana" w:hAnsi="Verdana" w:cs="Arial"/>
          <w:sz w:val="18"/>
          <w:szCs w:val="18"/>
        </w:rPr>
        <w:t>o qual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proíbe que se preveja no instrumento convocatório “cláusulas ou condições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comprometam, restrinjam ou frustrem o seu caráter competitivo”.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Corolário de tal racional é que sempre que a autoridade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processante do certame fizer constar na caracterização do produto especificações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técnicas que desbordam do mínimo necessário para a correta execução do objeto,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vale dizer, centradas em aspectos irrelevantes para a salvaguarda do interesse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público que se pretende tutelar, estará ela extrapolando os limites legais 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constitucionais impostos para o exercício de tal competência discricionária,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incorrendo na prática de conduta que redunda, tão somente, na restrição indevida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ao caráter competitivo do certame.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Nesta seara, socorre-se mais uma vez à precisa lição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 xml:space="preserve">Joel de Menezes </w:t>
      </w:r>
      <w:proofErr w:type="spellStart"/>
      <w:r w:rsidRPr="00077A75">
        <w:rPr>
          <w:rFonts w:ascii="Verdana" w:hAnsi="Verdana" w:cs="Arial"/>
          <w:sz w:val="18"/>
          <w:szCs w:val="18"/>
        </w:rPr>
        <w:t>Niebhur</w:t>
      </w:r>
      <w:proofErr w:type="spellEnd"/>
      <w:r w:rsidRPr="00077A75">
        <w:rPr>
          <w:rFonts w:ascii="Verdana" w:hAnsi="Verdana" w:cs="Arial"/>
          <w:sz w:val="18"/>
          <w:szCs w:val="18"/>
        </w:rPr>
        <w:t>: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Pois bem, importa que a definição do objeto da licitação 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todas as suas especificidades são atividades entregues à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discricionariedade dos agentes administrativos, que devem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sentir o quadro social, político e econômico, bem como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priorizar as demandas a serem atendidas pela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Administração Pública.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Não obstante tais considerações, toda competência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discricionária é limitada. Por isso é que o inciso I do §1º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do art. 3º da Lei nº 8.666/93 veda aos agentes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administrativos “admitir, prever, incluir ou tolerar, nos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atos de convocação, cláusulas ou condições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comprometam, restrinjam ou frustrem o seu caráter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competitivo e estabeleçam preferências ou distinções em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razão da naturalidade, da sede ou domicílio dos licitantes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ou de qualquer outra circunstância impertinente ou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irrelevante para o específico objeto do contrato”. (...)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Isso significa que o agente administrativo, no uso de sua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competência discricionária, não pode escolher o objeto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que pessoalmente lhe convenha, salientando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características que não sejam relevantes para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consecução do interesse público, mas que sirvam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restringir o acesso à licitação, direcionando-a a pessoas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predeterminadas.</w:t>
      </w: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Os agentes administrativos devem especificar o objeto da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licitação em detalhe, a fim de distinguir durante a licitação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aqueles de boa qualidade dos de má qualidade. No entanto,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os agentes administrativos não podem particularizar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características irrelevantes e impertinentes do objeto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licitado para a satisfação do interesse público.</w:t>
      </w: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Estabelecida esta premissa necessária, compete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demonstrar, em sequência, que tal diretriz ora em comento foi ignorada pela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autoridade promotora do certame, vez que as características destacadas pelo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Termo de Referência não se mostram imprescindíveis à ótima execução 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objeto ora licitado, bem como não encontra respaldo nos parâmetros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conformidade entabulados pela regulamentação de conformidade das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luminárias viárias estabelecidas pelo INMETRO, ente público legalmente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incumbido da regulamentação para certificação da qualidade de materiais 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produtos industriais.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É evidente que, tratando-se do fornecimento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luminárias, as especificações técnicas inseridas devem espelhar os requisitos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ordem técnica e de segurança efetivamente estipulados na Portaria nº 20/2017 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INMETRO, que estabelece o Regulamento Técnico da Qualidade para Luminárias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para Iluminação Pública Viária, e pelas normas técnicas (NBR) 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regulamentadoras (NR) aludidas por tal regramento.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E no caso, verifica-se com facilidade tal portaria 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INMETRO e as normas técnicas e regulamentadoras por ela remitidas, silenciam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acerca dos aspectos particularizados pelas especificações técnicas ora impugnadas.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Daí porque, ante o silêncio da Portaria nº 20/2017 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INMETRO, competiria à Municipalidade declinar justificativa técnica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contundente demonstrando a imprescindibilidade de que as luminárias possuíssem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estas determinadas características para a salvaguarda do interesse público visado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 a contratação.</w:t>
      </w: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E, no caso, não restaram enunciadas no Projeto Básico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as razões de ordem técnica que permitiriam a eleição de Temperatura de Cor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Correlata com Valor de 5000K, o que se delineia como uma especificação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restritiva a prejudicar a seleção de proposta mais vantajosa pela Administração.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Revela-se, desta forma, que a Administração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extrapolou os limites legais e constitucionais erigidos ao exercício de tal juízo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discricionário e inseriu especificações técnicas irrelevantes para a ótima execução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do objeto licitado, cujo único efeito advindo é a restrição indevida do caráter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competitivo do certame, conduta vedada pelo art. 3, §1º, I da Lei 8666/93, em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desfavor de interessados possuidores de luminárias aptas a atender com excelência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 interesse público pretendido com a contratação que não se adequam à restrita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customização imposta pelo Edital.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Nestes termos que se coloca a jurisprudência do TCESP: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E no que tange à fixação de especificações técnicas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simultâneas para luminárias, com “temperatura de cor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5.000K”, “fluxo luminoso mínimo de 22.500 lumens”,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 xml:space="preserve">“eficiência mínima de 125 </w:t>
      </w:r>
      <w:proofErr w:type="spellStart"/>
      <w:r w:rsidRPr="00077A75">
        <w:rPr>
          <w:rFonts w:ascii="Verdana" w:hAnsi="Verdana" w:cs="Arial"/>
          <w:sz w:val="18"/>
          <w:szCs w:val="18"/>
        </w:rPr>
        <w:t>lm</w:t>
      </w:r>
      <w:proofErr w:type="spellEnd"/>
      <w:r w:rsidRPr="00077A75">
        <w:rPr>
          <w:rFonts w:ascii="Verdana" w:hAnsi="Verdana" w:cs="Arial"/>
          <w:sz w:val="18"/>
          <w:szCs w:val="18"/>
        </w:rPr>
        <w:t>/W” e “potência máxima do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sistema de 180W”, embora tais definições possam ser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encontradas na Portaria nº 20/2017 do INMETRO,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pesquisa realizada pela Assessoria Técnica especializada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identificou uma única empresa capaz de cumprir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combinação de todas essas especificações, corroborando 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que fora alegado inicialmente pela representante.</w:t>
      </w: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Pr="00077A75" w:rsidRDefault="00F177AD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Assim, tanto no que tange à vida útil para a manutenção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fluxo luminoso, como para as aludidas exigências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simultâneas, há especificações que trazem um relevante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risco de se levar o certame a incorrer na vedação do art. 3º,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§ 1º, I, da Lei 8.666/93, razão pela qual deverá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Administração reavaliar e retificar o Anexo V – Memorial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Descritivo no tocante à vida útil igual ou superior a 70.000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horas de manutenção de fluxo luminoso de luminárias e à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exigência simultânea de “temperatura de cor de 5.000K”,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“fluxo luminoso mínimo de 22.500 lumens”, “eficiência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 xml:space="preserve">mínima de 125 </w:t>
      </w:r>
      <w:proofErr w:type="spellStart"/>
      <w:r w:rsidRPr="00077A75">
        <w:rPr>
          <w:rFonts w:ascii="Verdana" w:hAnsi="Verdana" w:cs="Arial"/>
          <w:sz w:val="18"/>
          <w:szCs w:val="18"/>
        </w:rPr>
        <w:t>lm</w:t>
      </w:r>
      <w:proofErr w:type="spellEnd"/>
      <w:r w:rsidRPr="00077A75">
        <w:rPr>
          <w:rFonts w:ascii="Verdana" w:hAnsi="Verdana" w:cs="Arial"/>
          <w:sz w:val="18"/>
          <w:szCs w:val="18"/>
        </w:rPr>
        <w:t>/W” e “potência máxima do sistema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180W”. (TC-006225.989.19-3 Conselheiro Robson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Marinho. Tribunal Pleno. Sessão de 20.03.2019)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Primeiramente, valho-me das conclusões da Unidade de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Engenharia, que em sua análise técnica acerca da matéria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considerou procedente a crítica lançada na alínea “l”, na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medida em que “as especificações técnicas devem se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restringir a imposição de características técnicas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compatíveis com as normas técnicas regulamentadoras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vigentes, sem imposição de restrições quanto à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 xml:space="preserve">tecnologia dos </w:t>
      </w:r>
      <w:proofErr w:type="spellStart"/>
      <w:r w:rsidRPr="00077A75">
        <w:rPr>
          <w:rFonts w:ascii="Verdana" w:hAnsi="Verdana" w:cs="Arial"/>
          <w:sz w:val="18"/>
          <w:szCs w:val="18"/>
        </w:rPr>
        <w:t>LEDs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 das luminárias, de maneira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 xml:space="preserve">ampliar a participação no certame”. (TC-011389.989.19-5. Rel. Cons. Sidney </w:t>
      </w:r>
      <w:proofErr w:type="spellStart"/>
      <w:r w:rsidRPr="00077A75">
        <w:rPr>
          <w:rFonts w:ascii="Verdana" w:hAnsi="Verdana" w:cs="Arial"/>
          <w:sz w:val="18"/>
          <w:szCs w:val="18"/>
        </w:rPr>
        <w:t>Stanislau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077A75">
        <w:rPr>
          <w:rFonts w:ascii="Verdana" w:hAnsi="Verdana" w:cs="Arial"/>
          <w:sz w:val="18"/>
          <w:szCs w:val="18"/>
        </w:rPr>
        <w:t>Beraldo.Tribunal</w:t>
      </w:r>
      <w:proofErr w:type="spellEnd"/>
      <w:r w:rsidRPr="00077A75">
        <w:rPr>
          <w:rFonts w:ascii="Verdana" w:hAnsi="Verdana" w:cs="Arial"/>
          <w:sz w:val="18"/>
          <w:szCs w:val="18"/>
        </w:rPr>
        <w:t xml:space="preserve"> Pleno. Sessão de 03.07.2019)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De início, em que pese a possibilidade de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Administração, no exercício de sua competência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discricionária, buscar a aquisição de produtos de melhor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qualidade, indicando, por isso, as especificações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desejadas, estas devem se ater aos limites das qualidades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mínimas necessárias para identificar o produto ou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serviço, de forma a facilitar sua busca no mercado,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garantindo a competitividade do certame. O cenário que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ora se delineia não se harmoniza com o artigo 3º, II,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ser precisa, suficiente e clara, vedadas especificações que,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por excessivas, irrelevantes ou desnecessárias, limitem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competição”</w:t>
      </w:r>
    </w:p>
    <w:p w:rsidR="00077A75" w:rsidRPr="00077A75" w:rsidRDefault="00077A75" w:rsidP="00077A75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Default="00077A75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077A75">
        <w:rPr>
          <w:rFonts w:ascii="Verdana" w:hAnsi="Verdana" w:cs="Arial"/>
          <w:sz w:val="18"/>
          <w:szCs w:val="18"/>
        </w:rPr>
        <w:t>Já em relação aos demais itens, assim como consignei nos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processos TC-5586.989.14-7 e TC-5599.989.14-2, em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sessão plenária de 11-02-2015, sem perder de vista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promoção de aquisições sustentáveis, deve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Administração rever as especificações dos itens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compõem o kit escolar, limitando-se a exigir as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características mínimas necessárias para a identificação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dos produtos que pretende adquirir, sem descer a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minúcias que não sejam padronizadas, ou</w:t>
      </w:r>
      <w:r>
        <w:rPr>
          <w:rFonts w:ascii="Verdana" w:hAnsi="Verdana" w:cs="Arial"/>
          <w:sz w:val="18"/>
          <w:szCs w:val="18"/>
        </w:rPr>
        <w:t xml:space="preserve"> </w:t>
      </w:r>
      <w:r w:rsidRPr="00077A75">
        <w:rPr>
          <w:rFonts w:ascii="Verdana" w:hAnsi="Verdana" w:cs="Arial"/>
          <w:sz w:val="18"/>
          <w:szCs w:val="18"/>
        </w:rPr>
        <w:t>imprescindíveis ao atendimento à regulamentação dos</w:t>
      </w:r>
      <w:r w:rsidR="00856DFD">
        <w:rPr>
          <w:rFonts w:ascii="Verdana" w:hAnsi="Verdana" w:cs="Arial"/>
          <w:sz w:val="18"/>
          <w:szCs w:val="18"/>
        </w:rPr>
        <w:t xml:space="preserve"> </w:t>
      </w:r>
      <w:r w:rsidR="00856DFD" w:rsidRPr="00856DFD">
        <w:rPr>
          <w:rFonts w:ascii="Verdana" w:hAnsi="Verdana" w:cs="Arial"/>
          <w:sz w:val="18"/>
          <w:szCs w:val="18"/>
        </w:rPr>
        <w:t>órgãos de controle. (TC- 008125.989.16-0. Cons. Relator</w:t>
      </w:r>
      <w:r w:rsidR="00856DFD">
        <w:rPr>
          <w:rFonts w:ascii="Verdana" w:hAnsi="Verdana" w:cs="Arial"/>
          <w:sz w:val="18"/>
          <w:szCs w:val="18"/>
        </w:rPr>
        <w:t xml:space="preserve"> </w:t>
      </w:r>
      <w:r w:rsidR="00856DFD" w:rsidRPr="00856DFD">
        <w:rPr>
          <w:rFonts w:ascii="Verdana" w:hAnsi="Verdana" w:cs="Arial"/>
          <w:sz w:val="18"/>
          <w:szCs w:val="18"/>
        </w:rPr>
        <w:t xml:space="preserve">Sidney </w:t>
      </w:r>
      <w:proofErr w:type="spellStart"/>
      <w:r w:rsidR="00856DFD" w:rsidRPr="00856DFD">
        <w:rPr>
          <w:rFonts w:ascii="Verdana" w:hAnsi="Verdana" w:cs="Arial"/>
          <w:sz w:val="18"/>
          <w:szCs w:val="18"/>
        </w:rPr>
        <w:t>Estanislau</w:t>
      </w:r>
      <w:proofErr w:type="spellEnd"/>
      <w:r w:rsidR="00856DFD" w:rsidRPr="00856DFD">
        <w:rPr>
          <w:rFonts w:ascii="Verdana" w:hAnsi="Verdana" w:cs="Arial"/>
          <w:sz w:val="18"/>
          <w:szCs w:val="18"/>
        </w:rPr>
        <w:t xml:space="preserve"> Beraldo. Tribunal Pleno. Sessão de</w:t>
      </w:r>
      <w:r w:rsidR="00856DFD">
        <w:rPr>
          <w:rFonts w:ascii="Verdana" w:hAnsi="Verdana" w:cs="Arial"/>
          <w:sz w:val="18"/>
          <w:szCs w:val="18"/>
        </w:rPr>
        <w:t xml:space="preserve"> </w:t>
      </w:r>
      <w:r w:rsidR="00856DFD" w:rsidRPr="00856DFD">
        <w:rPr>
          <w:rFonts w:ascii="Verdana" w:hAnsi="Verdana" w:cs="Arial"/>
          <w:sz w:val="18"/>
          <w:szCs w:val="18"/>
        </w:rPr>
        <w:t>01.06.2016)</w:t>
      </w: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EMENTA: EXAME PRÉVIO DE EDITAL.</w:t>
      </w: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REGISTRO DE PREÇOS PARA AQUISIÇÃO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KITS ESCOLARES. ESPECIFICAÇÕES TÉCNICAS</w:t>
      </w: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EXCESSIVAS. EXIGÊNCIA DE LAUDO DE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QUALIDADE JUNTAMENTE COM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CERTIFICAÇÃO DO INMETRO. PRAZO EXÍGUO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PARA A APRESENTAÇÃO DE LAUDOS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TÉCNICOS. PROCEDÊNCIA PARCIAL.</w:t>
      </w: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Default="00856DFD" w:rsidP="00F177AD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As especificações técnicas requeridas devem se ater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aos limites das qualidades mínimas necessárias para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identificar o produto ou serviço, de forma a facilitar sua</w:t>
      </w:r>
      <w:r w:rsidR="00F177AD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busca no mercado, garantindo a competitividade do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certame.</w:t>
      </w:r>
    </w:p>
    <w:p w:rsidR="00F177AD" w:rsidRPr="00856DFD" w:rsidRDefault="00F177AD" w:rsidP="00F177AD">
      <w:pPr>
        <w:ind w:left="1494"/>
        <w:jc w:val="both"/>
        <w:rPr>
          <w:rFonts w:ascii="Verdana" w:hAnsi="Verdana" w:cs="Arial"/>
          <w:sz w:val="18"/>
          <w:szCs w:val="18"/>
        </w:rPr>
      </w:pP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2. A apresentação de laudos de qualidade complementares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para produtos de certificação compulsória pelo INMETRO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deve ser evitada, em benefício da competitividade do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certame.</w:t>
      </w: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3. Deve ser concedido interregno razoável à vencedora para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a apresentação de laudos complementares. (TC-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 xml:space="preserve">21789.989.18-3 Relator Conselheiro Sidney </w:t>
      </w:r>
      <w:proofErr w:type="spellStart"/>
      <w:r w:rsidRPr="00856DFD">
        <w:rPr>
          <w:rFonts w:ascii="Verdana" w:hAnsi="Verdana" w:cs="Arial"/>
          <w:sz w:val="18"/>
          <w:szCs w:val="18"/>
        </w:rPr>
        <w:t>Estanislau</w:t>
      </w:r>
      <w:proofErr w:type="spellEnd"/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Beraldo – Tribunal Pleno)</w:t>
      </w: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Pr="00856DFD" w:rsidRDefault="00F177A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Tais especificações técnicas injustificadas igualmente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atentam contra a jurisprudência do Tribunal de Contas da União, que já advertiu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que a inclusão destas especificações deve se limitar ao que se mostrar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indispensável à execução do objeto licitado, bem como que a inserção injustificada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de características dos produtos que exorbitem este mínimo essencial, restringe 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caráter competitivo do certame, sendo vedada por força do disposto no art. 3º, §1º,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I da Lei 8666/93:</w:t>
      </w: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 xml:space="preserve">9.5. </w:t>
      </w:r>
      <w:proofErr w:type="gramStart"/>
      <w:r w:rsidRPr="00856DFD">
        <w:rPr>
          <w:rFonts w:ascii="Verdana" w:hAnsi="Verdana" w:cs="Arial"/>
          <w:sz w:val="18"/>
          <w:szCs w:val="18"/>
        </w:rPr>
        <w:t>determinar</w:t>
      </w:r>
      <w:proofErr w:type="gramEnd"/>
      <w:r w:rsidRPr="00856DFD">
        <w:rPr>
          <w:rFonts w:ascii="Verdana" w:hAnsi="Verdana" w:cs="Arial"/>
          <w:sz w:val="18"/>
          <w:szCs w:val="18"/>
        </w:rPr>
        <w:t xml:space="preserve">, ainda, ao Município de Água </w:t>
      </w:r>
      <w:proofErr w:type="spellStart"/>
      <w:r w:rsidRPr="00856DFD">
        <w:rPr>
          <w:rFonts w:ascii="Verdana" w:hAnsi="Verdana" w:cs="Arial"/>
          <w:sz w:val="18"/>
          <w:szCs w:val="18"/>
        </w:rPr>
        <w:t>Limpa-GO</w:t>
      </w:r>
      <w:proofErr w:type="spellEnd"/>
      <w:r w:rsidRPr="00856DFD">
        <w:rPr>
          <w:rFonts w:ascii="Verdana" w:hAnsi="Verdana" w:cs="Arial"/>
          <w:sz w:val="18"/>
          <w:szCs w:val="18"/>
        </w:rPr>
        <w:t>,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novamente com fundamento no art. 250, inciso II, do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Regimento Interno do TCU, que, caso opte por realizar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novo procedimento licitatório para aquisição de pá</w:t>
      </w:r>
      <w:r w:rsidRPr="00856DFD">
        <w:t xml:space="preserve"> </w:t>
      </w:r>
      <w:r w:rsidRPr="00856DFD">
        <w:rPr>
          <w:rFonts w:ascii="Verdana" w:hAnsi="Verdana" w:cs="Arial"/>
          <w:sz w:val="18"/>
          <w:szCs w:val="18"/>
        </w:rPr>
        <w:t>carregadeira com recursos públicos federais, atente, em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especial, para o seguinte:</w:t>
      </w: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(...)</w:t>
      </w:r>
    </w:p>
    <w:p w:rsid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 xml:space="preserve">9.5.1. </w:t>
      </w:r>
      <w:proofErr w:type="gramStart"/>
      <w:r w:rsidRPr="00856DFD">
        <w:rPr>
          <w:rFonts w:ascii="Verdana" w:hAnsi="Verdana" w:cs="Arial"/>
          <w:sz w:val="18"/>
          <w:szCs w:val="18"/>
        </w:rPr>
        <w:t>de</w:t>
      </w:r>
      <w:proofErr w:type="gramEnd"/>
      <w:r w:rsidRPr="00856DFD">
        <w:rPr>
          <w:rFonts w:ascii="Verdana" w:hAnsi="Verdana" w:cs="Arial"/>
          <w:sz w:val="18"/>
          <w:szCs w:val="18"/>
        </w:rPr>
        <w:t xml:space="preserve"> acordo com o princípio da especificidade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mínima que garante o cumprimento das obrigações,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estabelecido pela Constituição Federal, art. 37, inciso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XXI, as especificações técnicas dos objetos das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licitações, inclusive pás carregadeiras, precisam ser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justificadas tecnicamente, devendo estes critérios ser os</w:t>
      </w:r>
      <w:r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mínimos necessários para a garantia do alcance do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objetivo da licitação, havendo, ainda, a necessidade de que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todo esse nexo relacional esteja justificado nos autos do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processo licitatório; (TCU – Acórdão nº 214/2020. Rel.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Min. Aroldo Cedraz. Plenário. Sessão de 05.02.2020)</w:t>
      </w:r>
      <w:r w:rsidR="002F16E1">
        <w:rPr>
          <w:rFonts w:ascii="Verdana" w:hAnsi="Verdana" w:cs="Arial"/>
          <w:sz w:val="18"/>
          <w:szCs w:val="18"/>
        </w:rPr>
        <w:t>.</w:t>
      </w:r>
    </w:p>
    <w:p w:rsidR="002F16E1" w:rsidRPr="00856DFD" w:rsidRDefault="002F16E1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 xml:space="preserve">9.3. </w:t>
      </w:r>
      <w:proofErr w:type="gramStart"/>
      <w:r w:rsidRPr="00856DFD">
        <w:rPr>
          <w:rFonts w:ascii="Verdana" w:hAnsi="Verdana" w:cs="Arial"/>
          <w:sz w:val="18"/>
          <w:szCs w:val="18"/>
        </w:rPr>
        <w:t>determinar</w:t>
      </w:r>
      <w:proofErr w:type="gramEnd"/>
      <w:r w:rsidRPr="00856DFD">
        <w:rPr>
          <w:rFonts w:ascii="Verdana" w:hAnsi="Verdana" w:cs="Arial"/>
          <w:sz w:val="18"/>
          <w:szCs w:val="18"/>
        </w:rPr>
        <w:t xml:space="preserve"> ao Ministério da Integração Nacional que:</w:t>
      </w:r>
    </w:p>
    <w:p w:rsidR="00856DFD" w:rsidRPr="00856DFD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>(...)</w:t>
      </w:r>
    </w:p>
    <w:p w:rsidR="00077A75" w:rsidRDefault="00856DFD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856DFD">
        <w:rPr>
          <w:rFonts w:ascii="Verdana" w:hAnsi="Verdana" w:cs="Arial"/>
          <w:sz w:val="18"/>
          <w:szCs w:val="18"/>
        </w:rPr>
        <w:t xml:space="preserve">9.3.2. </w:t>
      </w:r>
      <w:proofErr w:type="gramStart"/>
      <w:r w:rsidRPr="00856DFD">
        <w:rPr>
          <w:rFonts w:ascii="Verdana" w:hAnsi="Verdana" w:cs="Arial"/>
          <w:sz w:val="18"/>
          <w:szCs w:val="18"/>
        </w:rPr>
        <w:t>observe</w:t>
      </w:r>
      <w:proofErr w:type="gramEnd"/>
      <w:r w:rsidRPr="00856DFD">
        <w:rPr>
          <w:rFonts w:ascii="Verdana" w:hAnsi="Verdana" w:cs="Arial"/>
          <w:sz w:val="18"/>
          <w:szCs w:val="18"/>
        </w:rPr>
        <w:t xml:space="preserve"> o disposto nos </w:t>
      </w:r>
      <w:proofErr w:type="spellStart"/>
      <w:r w:rsidRPr="00856DFD">
        <w:rPr>
          <w:rFonts w:ascii="Verdana" w:hAnsi="Verdana" w:cs="Arial"/>
          <w:sz w:val="18"/>
          <w:szCs w:val="18"/>
        </w:rPr>
        <w:t>arts</w:t>
      </w:r>
      <w:proofErr w:type="spellEnd"/>
      <w:r w:rsidRPr="00856DFD">
        <w:rPr>
          <w:rFonts w:ascii="Verdana" w:hAnsi="Verdana" w:cs="Arial"/>
          <w:sz w:val="18"/>
          <w:szCs w:val="18"/>
        </w:rPr>
        <w:t>. 3º, 14 e 40, inciso I, da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Lei nº 8.666/1993, e no art. 3º da Lei nº 10.520/2002,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abstendo-se de incluir, nos instrumentos convocatórios,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excessivo detalhamento do objeto, de modo a evitar o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direcionamento da licitação ou a restrição de seu caráter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competitivo, devendo justificar e fundamentar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tecnicamente quaisquer especificações ou condições que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restrinjam o universo de possíveis fornecedores dos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bens ou prestadores de serviços objeto do certame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 xml:space="preserve">(Acórdão 2.407/2006. Rel. Min. Benjamin </w:t>
      </w:r>
      <w:proofErr w:type="spellStart"/>
      <w:r w:rsidRPr="00856DFD">
        <w:rPr>
          <w:rFonts w:ascii="Verdana" w:hAnsi="Verdana" w:cs="Arial"/>
          <w:sz w:val="18"/>
          <w:szCs w:val="18"/>
        </w:rPr>
        <w:t>Zymler</w:t>
      </w:r>
      <w:proofErr w:type="spellEnd"/>
      <w:r w:rsidRPr="00856DFD">
        <w:rPr>
          <w:rFonts w:ascii="Verdana" w:hAnsi="Verdana" w:cs="Arial"/>
          <w:sz w:val="18"/>
          <w:szCs w:val="18"/>
        </w:rPr>
        <w:t>.</w:t>
      </w:r>
      <w:r w:rsidR="002F16E1">
        <w:rPr>
          <w:rFonts w:ascii="Verdana" w:hAnsi="Verdana" w:cs="Arial"/>
          <w:sz w:val="18"/>
          <w:szCs w:val="18"/>
        </w:rPr>
        <w:t xml:space="preserve"> </w:t>
      </w:r>
      <w:r w:rsidRPr="00856DFD">
        <w:rPr>
          <w:rFonts w:ascii="Verdana" w:hAnsi="Verdana" w:cs="Arial"/>
          <w:sz w:val="18"/>
          <w:szCs w:val="18"/>
        </w:rPr>
        <w:t>Plenário, Sessão de 06.12.2006)</w:t>
      </w:r>
    </w:p>
    <w:p w:rsidR="002F16E1" w:rsidRDefault="002F16E1" w:rsidP="00856DFD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De rigor, portanto, que se proceda à supressão de tais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especificações técnicas injustificadas contidas nos Itens 03.01, 03.02, 03.03 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03.06 do Memorial Descritivo, ou, alternativamente, entendendo pela sua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imprescindibilidade, proceda-se à inserção no bojo do Projeto Básico da justificava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técnica comprovando a sua pertinência para a salvaguarda do interesse público 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ser contemplado com a futura contratação.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d) Planilha Quantitativos e Preços Unitários e Item 1.16 e 2.05 do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Projeto Base: Ausência de composição de preço dos serviços de</w:t>
      </w:r>
      <w:r>
        <w:rPr>
          <w:rFonts w:ascii="Verdana" w:hAnsi="Verdana" w:cs="Arial"/>
          <w:sz w:val="18"/>
          <w:szCs w:val="18"/>
        </w:rPr>
        <w:t xml:space="preserve"> </w:t>
      </w:r>
      <w:proofErr w:type="spellStart"/>
      <w:r w:rsidRPr="002F16E1">
        <w:rPr>
          <w:rFonts w:ascii="Verdana" w:hAnsi="Verdana" w:cs="Arial"/>
          <w:sz w:val="18"/>
          <w:szCs w:val="18"/>
        </w:rPr>
        <w:t>georreferenciamento</w:t>
      </w:r>
      <w:proofErr w:type="spellEnd"/>
      <w:r w:rsidRPr="002F16E1">
        <w:rPr>
          <w:rFonts w:ascii="Verdana" w:hAnsi="Verdana" w:cs="Arial"/>
          <w:sz w:val="18"/>
          <w:szCs w:val="18"/>
        </w:rPr>
        <w:t xml:space="preserve"> de pontos.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Compulsando o ato convocatório e seus anexos, nota-se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 xml:space="preserve">que há previsão de execução de serviços de </w:t>
      </w:r>
      <w:proofErr w:type="spellStart"/>
      <w:r w:rsidRPr="002F16E1">
        <w:rPr>
          <w:rFonts w:ascii="Verdana" w:hAnsi="Verdana" w:cs="Arial"/>
          <w:sz w:val="18"/>
          <w:szCs w:val="18"/>
        </w:rPr>
        <w:t>georreferenciamento</w:t>
      </w:r>
      <w:proofErr w:type="spellEnd"/>
      <w:r w:rsidRPr="002F16E1">
        <w:rPr>
          <w:rFonts w:ascii="Verdana" w:hAnsi="Verdana" w:cs="Arial"/>
          <w:sz w:val="18"/>
          <w:szCs w:val="18"/>
        </w:rPr>
        <w:t xml:space="preserve"> de pontos,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conforme item 2.05 do Projeto Base – Memorial Descritivo, que assim dispõe: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2.05 Coleta dos dados e nota em planilha (Identificação da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equipe que realizou a instalação, marca e modelo da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luminária, data da instalação, tipo de braço, tipo de poste,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coordenadas geográficas da instalação em padrão latitude 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 xml:space="preserve">longitude (compatível com API do Google </w:t>
      </w:r>
      <w:proofErr w:type="spellStart"/>
      <w:r w:rsidRPr="002F16E1">
        <w:rPr>
          <w:rFonts w:ascii="Verdana" w:hAnsi="Verdana" w:cs="Arial"/>
          <w:sz w:val="18"/>
          <w:szCs w:val="18"/>
        </w:rPr>
        <w:t>Maps</w:t>
      </w:r>
      <w:proofErr w:type="spellEnd"/>
      <w:r w:rsidRPr="002F16E1">
        <w:rPr>
          <w:rFonts w:ascii="Verdana" w:hAnsi="Verdana" w:cs="Arial"/>
          <w:sz w:val="18"/>
          <w:szCs w:val="18"/>
        </w:rPr>
        <w:t>) com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precisão mínima de 8 metros).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Do mesmo modo, o item 1.16 prevê a execução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aterramento, nos seguintes termos: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proofErr w:type="gramStart"/>
      <w:r w:rsidRPr="002F16E1">
        <w:rPr>
          <w:rFonts w:ascii="Verdana" w:hAnsi="Verdana" w:cs="Arial"/>
          <w:sz w:val="18"/>
          <w:szCs w:val="18"/>
        </w:rPr>
        <w:t>1.16 Conforme</w:t>
      </w:r>
      <w:proofErr w:type="gramEnd"/>
      <w:r w:rsidRPr="002F16E1">
        <w:rPr>
          <w:rFonts w:ascii="Verdana" w:hAnsi="Verdana" w:cs="Arial"/>
          <w:sz w:val="18"/>
          <w:szCs w:val="18"/>
        </w:rPr>
        <w:t xml:space="preserve"> regulamentado pela empresa CPFL paulista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na GED 15132, atualmente não é permitido conectar 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condutor terra da luminária ao neutro da companhia, e não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existe outra estrutura de aterramento disponível nos locais.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Pr="002F16E1" w:rsidRDefault="00F177AD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Caso esse item da norma seja alterado ou até mesmo 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 xml:space="preserve">norma revogada até o </w:t>
      </w:r>
      <w:proofErr w:type="spellStart"/>
      <w:r w:rsidRPr="002F16E1">
        <w:rPr>
          <w:rFonts w:ascii="Verdana" w:hAnsi="Verdana" w:cs="Arial"/>
          <w:sz w:val="18"/>
          <w:szCs w:val="18"/>
        </w:rPr>
        <w:t>inicio</w:t>
      </w:r>
      <w:proofErr w:type="spellEnd"/>
      <w:r w:rsidRPr="002F16E1">
        <w:rPr>
          <w:rFonts w:ascii="Verdana" w:hAnsi="Verdana" w:cs="Arial"/>
          <w:sz w:val="18"/>
          <w:szCs w:val="18"/>
        </w:rPr>
        <w:t xml:space="preserve"> das instalações, ficará a critério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da empresa vencedora a forma como será executado 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aterramento da luminária, desde que não contrarie 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requisitos da companhia CPFL Paulista.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Entretanto, verifica-se que não há a composição do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preço dos serviços pretendidos na Planilha de Quantitativos e Preços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Unitários, que integra o Edital</w:t>
      </w:r>
      <w:r>
        <w:rPr>
          <w:rFonts w:ascii="Verdana" w:hAnsi="Verdana" w:cs="Arial"/>
          <w:sz w:val="18"/>
          <w:szCs w:val="18"/>
        </w:rPr>
        <w:t>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Desta forma, imperiosa a constatação de que o Edital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padece de franca desconsideração ao previsto pelo artigo 7º, §2º, inciso II, uma vez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que pretende licitar serviços sem que haja o devido orçamento detalhado em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planilha que expressem a composição de todos os seus custos unitários.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Art. 7o As licitações para a execução de obras e para 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prestação de serviços obedecerão ao disposto neste artigo e,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em particular, à seguinte sequência: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 xml:space="preserve">I - </w:t>
      </w:r>
      <w:proofErr w:type="gramStart"/>
      <w:r w:rsidRPr="002F16E1">
        <w:rPr>
          <w:rFonts w:ascii="Verdana" w:hAnsi="Verdana" w:cs="Arial"/>
          <w:sz w:val="18"/>
          <w:szCs w:val="18"/>
        </w:rPr>
        <w:t>projeto</w:t>
      </w:r>
      <w:proofErr w:type="gramEnd"/>
      <w:r w:rsidRPr="002F16E1">
        <w:rPr>
          <w:rFonts w:ascii="Verdana" w:hAnsi="Verdana" w:cs="Arial"/>
          <w:sz w:val="18"/>
          <w:szCs w:val="18"/>
        </w:rPr>
        <w:t xml:space="preserve"> básico;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 xml:space="preserve">II - </w:t>
      </w:r>
      <w:proofErr w:type="gramStart"/>
      <w:r w:rsidRPr="002F16E1">
        <w:rPr>
          <w:rFonts w:ascii="Verdana" w:hAnsi="Verdana" w:cs="Arial"/>
          <w:sz w:val="18"/>
          <w:szCs w:val="18"/>
        </w:rPr>
        <w:t>projeto</w:t>
      </w:r>
      <w:proofErr w:type="gramEnd"/>
      <w:r w:rsidRPr="002F16E1">
        <w:rPr>
          <w:rFonts w:ascii="Verdana" w:hAnsi="Verdana" w:cs="Arial"/>
          <w:sz w:val="18"/>
          <w:szCs w:val="18"/>
        </w:rPr>
        <w:t xml:space="preserve"> executivo;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III -execução das obras e serviços.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§ 2o As obras e os serviços somente poderão ser licitados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quando: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 xml:space="preserve">II - </w:t>
      </w:r>
      <w:proofErr w:type="gramStart"/>
      <w:r w:rsidRPr="002F16E1">
        <w:rPr>
          <w:rFonts w:ascii="Verdana" w:hAnsi="Verdana" w:cs="Arial"/>
          <w:sz w:val="18"/>
          <w:szCs w:val="18"/>
        </w:rPr>
        <w:t>existir</w:t>
      </w:r>
      <w:proofErr w:type="gramEnd"/>
      <w:r w:rsidRPr="002F16E1">
        <w:rPr>
          <w:rFonts w:ascii="Verdana" w:hAnsi="Verdana" w:cs="Arial"/>
          <w:sz w:val="18"/>
          <w:szCs w:val="18"/>
        </w:rPr>
        <w:t xml:space="preserve"> orçamento detalhado em planilhas que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expressem a composição de todos os seus custos unitários;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Por conseguinte, a Administração Pública não guardou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observância aos princípios da legalidade, eficiência e economicidade, inerentes à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sua atuação, conforme disposto pelo artigo 37,</w:t>
      </w:r>
      <w:r>
        <w:rPr>
          <w:rFonts w:ascii="Verdana" w:hAnsi="Verdana" w:cs="Arial"/>
          <w:sz w:val="18"/>
          <w:szCs w:val="18"/>
        </w:rPr>
        <w:t xml:space="preserve"> caput, da Constituição Federal</w:t>
      </w:r>
      <w:r w:rsidRPr="002F16E1">
        <w:rPr>
          <w:rFonts w:ascii="Verdana" w:hAnsi="Verdana" w:cs="Arial"/>
          <w:sz w:val="18"/>
          <w:szCs w:val="18"/>
        </w:rPr>
        <w:t>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Nada obstante, há de se enfatizar que a ausência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previsão do referido serviço em planilha de preços obsta às licitantes a elaboração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 um plano de trabalho condizente com a realidade da execução contratual, posto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que não há disponibilização de informações mínimas que permitam o adequado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dimensionamento de suas propostas.</w:t>
      </w:r>
    </w:p>
    <w:p w:rsidR="00F177AD" w:rsidRPr="002F16E1" w:rsidRDefault="00F177AD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Neste sentido, imperioso destacar entendimento exarado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pelo Egrégio Tribunal de Contas do Estado de São Paulo – TCE/SP: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EMENTA: EXAME PRÉVIO DE EDITAL. SERVIÇO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COLETA, TRANSPORTE E DESTINAÇÃO FINAL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RESÍDUOS SÓLIDOS DOMICILIARES.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CONCORRÊNCIA PÚBLICA. AUSÊNCIA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PLANILHA DE CUSTOS. INEXISTÊNCIA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INFORMAÇÕES SUFICIENTES PARA 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ELABORAÇÃO DO PLANO DE TRABALHO. VISITA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TÉCNICA FACULTATIVA. APRESENTAÇÃO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DOCUMENTOS DE EMPRESA SUBCONTRATADA.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VALIDAÇÃO DE ATESTADO PELO CREA-SP.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SÚMULA 49. PROCEDÊNCIA PARCIAL. A ausência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planilha de custos em licitação na modalidade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concorrência prejudica a elaboração de propostas, além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 afrontar os artigos 7º, §2º, inciso II, e 40, §2º, inciso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II, da Lei nº 8.666/93.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(...)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De se destacar, de outro modo, que a ausência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planilha de custos como elemento integrante do ato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convocatório para a modalidade concorrência é falta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grave, por violação ao artigo 7º, §2º, inciso II, e artigo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40, §2º, inciso II, todos da Lei de Licitações. 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inexistência de detalhamento dos custos unitários deixa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demonstrar às licitantes a pesquisa de preço realizada pela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Administração, que evidencie a compatibilidade entre 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valores que nortearão a escolha da proposta mais vantajosa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e aqueles efetivamente praticados no mercado.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(...)</w:t>
      </w:r>
    </w:p>
    <w:p w:rsidR="00F177AD" w:rsidRDefault="00F177AD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Pr="002F16E1" w:rsidRDefault="00F177AD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Assim, a requisição denota que a Prefeitura não teve 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devido zelo ao delimitar o objeto da contratação,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pretendendo repassar tal dever às licitantes, o que não é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aceitável. Assim, o Termo de Referência merece, pois,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correção, a fim de que sejam estabelecidos os detalhes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 todas as etapas da prestação do serviço. A ausência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das citadas informações tende a inviabilizar o adequado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dimensionamento do objeto e compatível elaboração das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propostas. Grifamos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(TC 013099.989.19 – Representação. Rel. Conselheiro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 xml:space="preserve">Sidney </w:t>
      </w:r>
      <w:proofErr w:type="spellStart"/>
      <w:r w:rsidRPr="002F16E1">
        <w:rPr>
          <w:rFonts w:ascii="Verdana" w:hAnsi="Verdana" w:cs="Arial"/>
          <w:sz w:val="18"/>
          <w:szCs w:val="18"/>
        </w:rPr>
        <w:t>Estanislau</w:t>
      </w:r>
      <w:proofErr w:type="spellEnd"/>
      <w:r w:rsidRPr="002F16E1">
        <w:rPr>
          <w:rFonts w:ascii="Verdana" w:hAnsi="Verdana" w:cs="Arial"/>
          <w:sz w:val="18"/>
          <w:szCs w:val="18"/>
        </w:rPr>
        <w:t xml:space="preserve"> Beraldo. Tribunal Pleno. Sessão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17/07/2019)</w:t>
      </w:r>
      <w:r>
        <w:rPr>
          <w:rFonts w:ascii="Verdana" w:hAnsi="Verdana" w:cs="Arial"/>
          <w:sz w:val="18"/>
          <w:szCs w:val="18"/>
        </w:rPr>
        <w:t>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Nesse passo, é de se constatar que a planilha de preços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constante do Edital merece reparos, a fim de que se faça constar a composição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preço dos serviços contidos no item 1.16 e 2.05 do Projeto Base – Memorial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Descritivo, nos termos do quanto delineado.</w:t>
      </w: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Pr="00F319FB" w:rsidRDefault="002F16E1" w:rsidP="002F16E1">
      <w:pPr>
        <w:ind w:firstLine="1134"/>
        <w:jc w:val="both"/>
        <w:rPr>
          <w:rFonts w:ascii="Verdana" w:hAnsi="Verdana" w:cs="Arial"/>
          <w:b/>
          <w:sz w:val="18"/>
          <w:szCs w:val="18"/>
        </w:rPr>
      </w:pPr>
      <w:r w:rsidRPr="00F319FB">
        <w:rPr>
          <w:rFonts w:ascii="Verdana" w:hAnsi="Verdana" w:cs="Arial"/>
          <w:b/>
          <w:sz w:val="18"/>
          <w:szCs w:val="18"/>
        </w:rPr>
        <w:t>III – DOS REQUERIMENTOS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Por todo o exposto, considerando que os vícios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apontados na presente impugnação constituem flagrante ilegalidade, além de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macularem todo o procedimento, requer seja a presente impugnação acolhida para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o fim de que o item impugnado seja suprimido/alterado, de modo a adequar 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termos do Edital ao disposto na legislação de regência e na jurisprudência dos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órgãos de controle e permitir que os licitantes formulem adequadamente suas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propostas de preço.</w:t>
      </w:r>
    </w:p>
    <w:p w:rsidR="002F16E1" w:rsidRP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2F16E1" w:rsidRDefault="002F16E1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2F16E1">
        <w:rPr>
          <w:rFonts w:ascii="Verdana" w:hAnsi="Verdana" w:cs="Arial"/>
          <w:sz w:val="18"/>
          <w:szCs w:val="18"/>
        </w:rPr>
        <w:t>Outrossim, requer que, com a modificação do edital,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seja esse divulgado posteriormente pela mesma forma que se deu o texto original,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reabrindo-se novo prazo para preparação e elaboração de propostas pelos</w:t>
      </w:r>
      <w:r>
        <w:rPr>
          <w:rFonts w:ascii="Verdana" w:hAnsi="Verdana" w:cs="Arial"/>
          <w:sz w:val="18"/>
          <w:szCs w:val="18"/>
        </w:rPr>
        <w:t xml:space="preserve"> </w:t>
      </w:r>
      <w:r w:rsidRPr="002F16E1">
        <w:rPr>
          <w:rFonts w:ascii="Verdana" w:hAnsi="Verdana" w:cs="Arial"/>
          <w:sz w:val="18"/>
          <w:szCs w:val="18"/>
        </w:rPr>
        <w:t>interessados.</w:t>
      </w:r>
    </w:p>
    <w:p w:rsidR="00F319FB" w:rsidRDefault="00F319FB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Em relação à tais argumentações a Secretaria de Obras e Serviços Públicos se manifestou assim:</w:t>
      </w:r>
    </w:p>
    <w:p w:rsidR="00F319FB" w:rsidRDefault="00F319FB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o item b: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A empresa está equivocada em afirmar que os itens não possuem qualquer material técnico, por sua natureza. Tais materiais possuem características técnicas, e no mínimo um catalogo do fabricante devem possuir. Como pode a administração ter certeza que um relé fotocélula atende todos os requisitos do item 3.05 se não nos for apresentado um </w:t>
      </w:r>
      <w:proofErr w:type="spellStart"/>
      <w:r w:rsidRPr="00F319FB">
        <w:rPr>
          <w:rFonts w:ascii="Verdana" w:hAnsi="Verdana" w:cs="Arial"/>
          <w:sz w:val="18"/>
          <w:szCs w:val="18"/>
        </w:rPr>
        <w:t>datasheet</w:t>
      </w:r>
      <w:proofErr w:type="spellEnd"/>
      <w:r w:rsidRPr="00F319FB">
        <w:rPr>
          <w:rFonts w:ascii="Verdana" w:hAnsi="Verdana" w:cs="Arial"/>
          <w:sz w:val="18"/>
          <w:szCs w:val="18"/>
        </w:rPr>
        <w:t xml:space="preserve"> ou catalogo do fabricante?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O mesmo vale para a placa de identificação, mesmo que sejam fabricadas sob encomenda, a pedido da licitante, o fabricante deve fornecer algum documento com o material que serão fabricadas, as medidas, o tipo de tinta utilizado, e esse documento será aceito pela administração como um </w:t>
      </w:r>
      <w:proofErr w:type="spellStart"/>
      <w:r w:rsidRPr="00F319FB">
        <w:rPr>
          <w:rFonts w:ascii="Verdana" w:hAnsi="Verdana" w:cs="Arial"/>
          <w:sz w:val="18"/>
          <w:szCs w:val="18"/>
        </w:rPr>
        <w:t>datasheet</w:t>
      </w:r>
      <w:proofErr w:type="spellEnd"/>
      <w:r w:rsidRPr="00F319FB">
        <w:rPr>
          <w:rFonts w:ascii="Verdana" w:hAnsi="Verdana" w:cs="Arial"/>
          <w:sz w:val="18"/>
          <w:szCs w:val="18"/>
        </w:rPr>
        <w:t>, que nada mais é que uma folha com os dados técnicos do produto.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o suposto equivoco, a empresa está enganada, pois o item do edital solicita também AMOSTRAS dos produtos, e não entendemos como justo exigir 3 modelos de luminárias (um item de valor elevado) em um processo de R$ 909.889,26. Entendemos como justo por exemplo essa exigência na CC 05/2020 de R$ 53.189.309,27, onde a licitante também participou, entregou sua proposta e não questionou amostras ou catálogos dos itens anteriores.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o item c: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a durabilidade dos caracteres da placa de identificação, a empresa está equivocada, existem sim materiais no mercado que tenham vida útil nesta ordem de grandeza. A empresa até conhece esse material, pois apresentou proposta para fornecimento com características exatamente iguais em outro processo desta prefeitura (CC 05/2020).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a temperatura de cor, vale o mesmo citado acima, e a empresa faz muitas afirmações inconsistentes. Se a temperatura de cor 4000k e 5000k são, segundo ela, muito similares e praticamente imperceptíveis ao olho humano, por que existem as duas cores, e os fabricantes homologam luminárias no INMETRO com ambas, não seria mais conveniente os órgãos aceitarem um único documento para as duas cores?</w:t>
      </w:r>
    </w:p>
    <w:p w:rsidR="00F177AD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Não foram apresentados os estudos internacionais que comprovam prejuízo a saúde humana causada pelo branco 5000k, não é aceitável citar um texto não embasado, e não colocar diretamente o estudo para que possa ser apreciado para tentar impugnar um edital, mesmo quando a própria licitante forneceu à essa </w:t>
      </w:r>
      <w:proofErr w:type="gramStart"/>
      <w:r w:rsidRPr="00F319FB">
        <w:rPr>
          <w:rFonts w:ascii="Verdana" w:hAnsi="Verdana" w:cs="Arial"/>
          <w:sz w:val="18"/>
          <w:szCs w:val="18"/>
        </w:rPr>
        <w:t>administração inúmeras</w:t>
      </w:r>
      <w:proofErr w:type="gramEnd"/>
      <w:r w:rsidRPr="00F319FB">
        <w:rPr>
          <w:rFonts w:ascii="Verdana" w:hAnsi="Verdana" w:cs="Arial"/>
          <w:sz w:val="18"/>
          <w:szCs w:val="18"/>
        </w:rPr>
        <w:t xml:space="preserve"> luminárias com essa cor, e nunca antes citou esse perigo.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No tocante a divisão efetuada entre fluxo luminoso e potência, ficamos espantados, pois é uma colocação ridícula, e claramente não foi feita pelos engenheiros da empresa que conhecemos. O redator deste texto não entendeu os termos MÁXIMO e MÍNIMO utilizados no termo de referência, e fez uma conta inútil. Quando dizemos que a </w:t>
      </w:r>
      <w:proofErr w:type="spellStart"/>
      <w:r w:rsidRPr="00F319FB">
        <w:rPr>
          <w:rFonts w:ascii="Verdana" w:hAnsi="Verdana" w:cs="Arial"/>
          <w:sz w:val="18"/>
          <w:szCs w:val="18"/>
        </w:rPr>
        <w:t>iluminância</w:t>
      </w:r>
      <w:proofErr w:type="spellEnd"/>
      <w:r w:rsidRPr="00F319FB">
        <w:rPr>
          <w:rFonts w:ascii="Verdana" w:hAnsi="Verdana" w:cs="Arial"/>
          <w:sz w:val="18"/>
          <w:szCs w:val="18"/>
        </w:rPr>
        <w:t xml:space="preserve"> deve ser de no MÍNIMO 25.500lm, esta pode ser igual, ou maior a este valor, e quando dizemos que a potência deve ser de no MÁXIMO 200W, está pode ser igual ou inferior a este valor. Obviamente os 3 requisitos devem ser atendidos.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Utilizar conceitos como máximo e mínimo não restringem a competição, muito pelo contrário, são utilizados para permitir a participação de diversos fabricantes que podem possuir produtos melhores do que os que procuramos, e se esses atenderem o valor de planilha, serão </w:t>
      </w:r>
      <w:proofErr w:type="gramStart"/>
      <w:r w:rsidRPr="00F319FB">
        <w:rPr>
          <w:rFonts w:ascii="Verdana" w:hAnsi="Verdana" w:cs="Arial"/>
          <w:sz w:val="18"/>
          <w:szCs w:val="18"/>
        </w:rPr>
        <w:t>bem vindos</w:t>
      </w:r>
      <w:proofErr w:type="gramEnd"/>
      <w:r w:rsidRPr="00F319FB">
        <w:rPr>
          <w:rFonts w:ascii="Verdana" w:hAnsi="Verdana" w:cs="Arial"/>
          <w:sz w:val="18"/>
          <w:szCs w:val="18"/>
        </w:rPr>
        <w:t xml:space="preserve"> trazendo benefícios ao município, principalmente na economia de energia.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Sobre a alegação de que se extrapola o uso do poder discricionário, entendemos que a licitante não entendeu a diferença das luminárias de 5000k e 4000k, </w:t>
      </w:r>
      <w:proofErr w:type="spellStart"/>
      <w:r w:rsidRPr="00F319FB">
        <w:rPr>
          <w:rFonts w:ascii="Verdana" w:hAnsi="Verdana" w:cs="Arial"/>
          <w:sz w:val="18"/>
          <w:szCs w:val="18"/>
        </w:rPr>
        <w:t>explico</w:t>
      </w:r>
      <w:proofErr w:type="spellEnd"/>
      <w:r w:rsidRPr="00F319FB">
        <w:rPr>
          <w:rFonts w:ascii="Verdana" w:hAnsi="Verdana" w:cs="Arial"/>
          <w:sz w:val="18"/>
          <w:szCs w:val="18"/>
        </w:rPr>
        <w:t xml:space="preserve"> então que a diferença entre elas é a COR da iluminação, ambas são da cor branca, porem uma mais tendendo ao azul, e outra mais tendendo ao amarelo. Existem sim as duas cores na portaria 20 do INMETRO, e NÃO foram apresentados os ‘estudos internacionais’ citados pela licitante, como posso então, deixar 38.000 luminárias na cidade de uma cor, e 600 luminárias, em locais diferentes, porem em meio as demais, de outra cor? Sairia totalmente do padrão da cidade, deixando as ruas feias, o que pode não fazer diferença para alguma licitante ou para algumas pessoas, mas para </w:t>
      </w:r>
      <w:proofErr w:type="gramStart"/>
      <w:r w:rsidRPr="00F319FB">
        <w:rPr>
          <w:rFonts w:ascii="Verdana" w:hAnsi="Verdana" w:cs="Arial"/>
          <w:sz w:val="18"/>
          <w:szCs w:val="18"/>
        </w:rPr>
        <w:t>outras sim</w:t>
      </w:r>
      <w:proofErr w:type="gramEnd"/>
      <w:r w:rsidRPr="00F319FB">
        <w:rPr>
          <w:rFonts w:ascii="Verdana" w:hAnsi="Verdana" w:cs="Arial"/>
          <w:sz w:val="18"/>
          <w:szCs w:val="18"/>
        </w:rPr>
        <w:t>, e nessa parte, cabe ao município decidir e utilizar o que lhe for mais vantajoso.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o item d: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A licitante solicita pagamento de </w:t>
      </w:r>
      <w:proofErr w:type="spellStart"/>
      <w:r w:rsidRPr="00F319FB">
        <w:rPr>
          <w:rFonts w:ascii="Verdana" w:hAnsi="Verdana" w:cs="Arial"/>
          <w:sz w:val="18"/>
          <w:szCs w:val="18"/>
        </w:rPr>
        <w:t>georreferenciamento</w:t>
      </w:r>
      <w:proofErr w:type="spellEnd"/>
      <w:r w:rsidRPr="00F319FB">
        <w:rPr>
          <w:rFonts w:ascii="Verdana" w:hAnsi="Verdana" w:cs="Arial"/>
          <w:sz w:val="18"/>
          <w:szCs w:val="18"/>
        </w:rPr>
        <w:t xml:space="preserve">, porem no item 2.05, o mesmo que foi mencionado pela licitante, deixa clara que não se trata de </w:t>
      </w:r>
      <w:proofErr w:type="spellStart"/>
      <w:r w:rsidRPr="00F319FB">
        <w:rPr>
          <w:rFonts w:ascii="Verdana" w:hAnsi="Verdana" w:cs="Arial"/>
          <w:sz w:val="18"/>
          <w:szCs w:val="18"/>
        </w:rPr>
        <w:t>georreferenciamento</w:t>
      </w:r>
      <w:proofErr w:type="spellEnd"/>
      <w:r w:rsidRPr="00F319FB">
        <w:rPr>
          <w:rFonts w:ascii="Verdana" w:hAnsi="Verdana" w:cs="Arial"/>
          <w:sz w:val="18"/>
          <w:szCs w:val="18"/>
        </w:rPr>
        <w:t>, aceitando inclusive o uso de um aparelho de celular, que em sua maioria hoje possuem precisão maior que de 8 metros, não sendo necessário um equipamento ou profissional especifico para esse fim. O próprio eletricista que estiver executando o serviço no local pode preencher esses dados, que serão utilizados inclusive na medição dos serviços.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Sobre o pagamento de aterramento, o item 1.16 citado pela licitante é claro ao NÃO EXIGIR aterramento, diversos fabricantes de luminárias fornecem a garantia sem a ligação do condutor terra, como já foi fornecido pela própria licitante na TP 20/2020, na rua Manoel Rodrigues Jacob, exigido pelo item 1.15 de seu memorial descritivo.</w:t>
      </w:r>
    </w:p>
    <w:p w:rsidR="00F177AD" w:rsidRPr="00F319FB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 xml:space="preserve">Cabe ressaltar que na TP 20/2020 o qual essa licitante se sagrou vencedora, suas luminárias, de 5000k não tiveram seu condutor terra conectado ao neutro, e inclusive algumas delas apresentaram defeito, e foram prontamente substituídas pela empresa. </w:t>
      </w:r>
    </w:p>
    <w:p w:rsid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Como é claro, a própria licitante possui luminárias capazes de atender ao</w:t>
      </w:r>
      <w:r w:rsidR="00292858">
        <w:rPr>
          <w:rFonts w:ascii="Verdana" w:hAnsi="Verdana" w:cs="Arial"/>
          <w:sz w:val="18"/>
          <w:szCs w:val="18"/>
        </w:rPr>
        <w:t>s</w:t>
      </w:r>
      <w:bookmarkStart w:id="0" w:name="_GoBack"/>
      <w:bookmarkEnd w:id="0"/>
      <w:r w:rsidRPr="00F319FB">
        <w:rPr>
          <w:rFonts w:ascii="Verdana" w:hAnsi="Verdana" w:cs="Arial"/>
          <w:sz w:val="18"/>
          <w:szCs w:val="18"/>
        </w:rPr>
        <w:t xml:space="preserve"> requisitos técnicos do edital.</w:t>
      </w:r>
    </w:p>
    <w:p w:rsidR="00F177AD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Face ao exposto, negamos provimento à impugnação, mantendo a abertura do certame, bem como todos os seus termos.</w:t>
      </w:r>
    </w:p>
    <w:p w:rsidR="00F177AD" w:rsidRDefault="00F177AD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177AD" w:rsidRDefault="00F177AD" w:rsidP="00F177AD">
      <w:pPr>
        <w:ind w:firstLine="1134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Era o que tínhamos a comunicar.</w:t>
      </w:r>
    </w:p>
    <w:p w:rsidR="00F177AD" w:rsidRDefault="00F177AD" w:rsidP="00F177AD">
      <w:pPr>
        <w:ind w:firstLine="1134"/>
        <w:jc w:val="center"/>
        <w:rPr>
          <w:rFonts w:ascii="Verdana" w:hAnsi="Verdana" w:cs="Arial"/>
          <w:sz w:val="18"/>
          <w:szCs w:val="18"/>
        </w:rPr>
      </w:pPr>
    </w:p>
    <w:p w:rsidR="00F177AD" w:rsidRDefault="00F177AD" w:rsidP="00F177AD">
      <w:pPr>
        <w:ind w:firstLine="1134"/>
        <w:jc w:val="center"/>
        <w:rPr>
          <w:rFonts w:ascii="Verdana" w:hAnsi="Verdana" w:cs="Arial"/>
          <w:sz w:val="18"/>
          <w:szCs w:val="18"/>
        </w:rPr>
      </w:pPr>
    </w:p>
    <w:p w:rsidR="00F177AD" w:rsidRDefault="00F177AD" w:rsidP="00F177AD">
      <w:pPr>
        <w:ind w:firstLine="1134"/>
        <w:jc w:val="center"/>
        <w:rPr>
          <w:rFonts w:ascii="Verdana" w:hAnsi="Verdana" w:cs="Arial"/>
          <w:sz w:val="18"/>
          <w:szCs w:val="18"/>
        </w:rPr>
      </w:pPr>
    </w:p>
    <w:p w:rsidR="00F177AD" w:rsidRDefault="00F177AD" w:rsidP="00F177AD">
      <w:pPr>
        <w:ind w:firstLine="1134"/>
        <w:jc w:val="center"/>
        <w:rPr>
          <w:rFonts w:ascii="Verdana" w:hAnsi="Verdana" w:cs="Arial"/>
          <w:sz w:val="18"/>
          <w:szCs w:val="18"/>
        </w:rPr>
      </w:pPr>
    </w:p>
    <w:p w:rsidR="00F177AD" w:rsidRDefault="00F177AD" w:rsidP="00F177AD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ARIANE SOARES DE SOUZA</w:t>
      </w:r>
    </w:p>
    <w:p w:rsidR="00F177AD" w:rsidRDefault="00F177AD" w:rsidP="00F177AD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Comissão Permanente de Licitações</w:t>
      </w:r>
    </w:p>
    <w:p w:rsidR="00F177AD" w:rsidRPr="00F319FB" w:rsidRDefault="00F177AD" w:rsidP="00F177AD">
      <w:pPr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Presidente</w:t>
      </w:r>
    </w:p>
    <w:p w:rsidR="00F319FB" w:rsidRP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P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Pr="00F319FB" w:rsidRDefault="00F319FB" w:rsidP="00F319FB">
      <w:pPr>
        <w:ind w:firstLine="1134"/>
        <w:jc w:val="both"/>
        <w:rPr>
          <w:rFonts w:ascii="Verdana" w:hAnsi="Verdana" w:cs="Arial"/>
          <w:sz w:val="18"/>
          <w:szCs w:val="18"/>
        </w:rPr>
      </w:pPr>
    </w:p>
    <w:p w:rsidR="00F319FB" w:rsidRPr="00F319FB" w:rsidRDefault="00F319FB" w:rsidP="00F177AD">
      <w:pPr>
        <w:jc w:val="center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ENG. FERNANDO HENRIQUE VALENTE</w:t>
      </w:r>
    </w:p>
    <w:p w:rsidR="00F319FB" w:rsidRPr="00F319FB" w:rsidRDefault="00F319FB" w:rsidP="00F177AD">
      <w:pPr>
        <w:jc w:val="center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GERENTE DE INST. ELETR. E ILUMINAÇÃO PÚBLICA</w:t>
      </w:r>
    </w:p>
    <w:p w:rsidR="00F319FB" w:rsidRPr="00F319FB" w:rsidRDefault="00F319FB" w:rsidP="00F177AD">
      <w:pPr>
        <w:jc w:val="center"/>
        <w:rPr>
          <w:rFonts w:ascii="Verdana" w:hAnsi="Verdana" w:cs="Arial"/>
          <w:sz w:val="18"/>
          <w:szCs w:val="18"/>
        </w:rPr>
      </w:pPr>
      <w:r w:rsidRPr="00F319FB">
        <w:rPr>
          <w:rFonts w:ascii="Verdana" w:hAnsi="Verdana" w:cs="Arial"/>
          <w:sz w:val="18"/>
          <w:szCs w:val="18"/>
        </w:rPr>
        <w:t>CREA-SP: 5069025963</w:t>
      </w:r>
    </w:p>
    <w:p w:rsidR="00F319FB" w:rsidRPr="00077A75" w:rsidRDefault="00F319FB" w:rsidP="002F16E1">
      <w:pPr>
        <w:ind w:firstLine="1134"/>
        <w:jc w:val="both"/>
        <w:rPr>
          <w:rFonts w:ascii="Verdana" w:hAnsi="Verdana" w:cs="Arial"/>
          <w:sz w:val="18"/>
          <w:szCs w:val="18"/>
        </w:rPr>
      </w:pPr>
    </w:p>
    <w:sectPr w:rsidR="00F319FB" w:rsidRPr="00077A75" w:rsidSect="00617EE7">
      <w:headerReference w:type="default" r:id="rId7"/>
      <w:footerReference w:type="even" r:id="rId8"/>
      <w:footerReference w:type="default" r:id="rId9"/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9FB" w:rsidRDefault="00F319FB">
      <w:r>
        <w:separator/>
      </w:r>
    </w:p>
  </w:endnote>
  <w:endnote w:type="continuationSeparator" w:id="0">
    <w:p w:rsidR="00F319FB" w:rsidRDefault="00F319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FB" w:rsidRDefault="00F319FB" w:rsidP="00947FB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319FB" w:rsidRDefault="00F319FB" w:rsidP="00553A8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FB" w:rsidRDefault="00F319FB">
    <w:pPr>
      <w:pStyle w:val="Rodap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92858">
      <w:rPr>
        <w:noProof/>
      </w:rPr>
      <w:t>12</w:t>
    </w:r>
    <w:r>
      <w:rPr>
        <w:noProof/>
      </w:rPr>
      <w:fldChar w:fldCharType="end"/>
    </w:r>
  </w:p>
  <w:p w:rsidR="00F319FB" w:rsidRDefault="00F319FB" w:rsidP="00553A8A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9FB" w:rsidRDefault="00F319FB">
      <w:r>
        <w:separator/>
      </w:r>
    </w:p>
  </w:footnote>
  <w:footnote w:type="continuationSeparator" w:id="0">
    <w:p w:rsidR="00F319FB" w:rsidRDefault="00F319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FB" w:rsidRPr="00A91B9C" w:rsidRDefault="00F319FB" w:rsidP="00C84742">
    <w:pPr>
      <w:jc w:val="center"/>
      <w:rPr>
        <w:rFonts w:ascii="Verdana" w:hAnsi="Verdana"/>
      </w:rPr>
    </w:pPr>
    <w:r>
      <w:rPr>
        <w:rFonts w:ascii="Verdana" w:hAnsi="Verdana"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1" o:spid="_x0000_s2049" type="#_x0000_t75" alt="CARIMBO" style="position:absolute;left:0;text-align:left;margin-left:400.2pt;margin-top:-18.2pt;width:78pt;height:72.75pt;z-index:-251658752;visibility:visible">
          <v:imagedata r:id="rId1" o:title="CARIMBO" gain="2.5" blacklevel="-6554f"/>
        </v:shape>
      </w:pict>
    </w:r>
    <w:r>
      <w:rPr>
        <w:rFonts w:ascii="Verdana" w:hAnsi="Verdana"/>
        <w:noProof/>
      </w:rPr>
      <w:pict>
        <v:shape id="Imagem 1" o:spid="_x0000_i1025" type="#_x0000_t75" style="width:49.5pt;height:55.5pt;visibility:visible">
          <v:imagedata r:id="rId2" o:title=""/>
        </v:shape>
      </w:pict>
    </w:r>
  </w:p>
  <w:p w:rsidR="00F319FB" w:rsidRPr="00A91B9C" w:rsidRDefault="00F319FB" w:rsidP="00C84742">
    <w:pPr>
      <w:pStyle w:val="Cabealho"/>
      <w:jc w:val="center"/>
      <w:rPr>
        <w:b/>
        <w:sz w:val="20"/>
      </w:rPr>
    </w:pPr>
    <w:r w:rsidRPr="00A91B9C">
      <w:rPr>
        <w:b/>
        <w:sz w:val="20"/>
      </w:rPr>
      <w:t>PREFEITURA DO MUNICIPIO DE ARARAQUARA</w:t>
    </w:r>
  </w:p>
  <w:p w:rsidR="00F319FB" w:rsidRDefault="00F319FB" w:rsidP="00C84742">
    <w:pPr>
      <w:pStyle w:val="Ttulo4"/>
    </w:pPr>
    <w:r>
      <w:rPr>
        <w:sz w:val="20"/>
      </w:rPr>
      <w:t xml:space="preserve"> </w:t>
    </w:r>
  </w:p>
  <w:p w:rsidR="00F319FB" w:rsidRDefault="00F319F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37E1D"/>
    <w:multiLevelType w:val="hybridMultilevel"/>
    <w:tmpl w:val="922AE25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CA7242B"/>
    <w:multiLevelType w:val="hybridMultilevel"/>
    <w:tmpl w:val="C820F448"/>
    <w:lvl w:ilvl="0" w:tplc="43D25C1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214" w:hanging="360"/>
      </w:pPr>
    </w:lvl>
    <w:lvl w:ilvl="2" w:tplc="0416001B" w:tentative="1">
      <w:start w:val="1"/>
      <w:numFmt w:val="lowerRoman"/>
      <w:lvlText w:val="%3."/>
      <w:lvlJc w:val="right"/>
      <w:pPr>
        <w:ind w:left="2934" w:hanging="180"/>
      </w:pPr>
    </w:lvl>
    <w:lvl w:ilvl="3" w:tplc="0416000F" w:tentative="1">
      <w:start w:val="1"/>
      <w:numFmt w:val="decimal"/>
      <w:lvlText w:val="%4."/>
      <w:lvlJc w:val="left"/>
      <w:pPr>
        <w:ind w:left="3654" w:hanging="360"/>
      </w:pPr>
    </w:lvl>
    <w:lvl w:ilvl="4" w:tplc="04160019" w:tentative="1">
      <w:start w:val="1"/>
      <w:numFmt w:val="lowerLetter"/>
      <w:lvlText w:val="%5."/>
      <w:lvlJc w:val="left"/>
      <w:pPr>
        <w:ind w:left="4374" w:hanging="360"/>
      </w:pPr>
    </w:lvl>
    <w:lvl w:ilvl="5" w:tplc="0416001B" w:tentative="1">
      <w:start w:val="1"/>
      <w:numFmt w:val="lowerRoman"/>
      <w:lvlText w:val="%6."/>
      <w:lvlJc w:val="right"/>
      <w:pPr>
        <w:ind w:left="5094" w:hanging="180"/>
      </w:pPr>
    </w:lvl>
    <w:lvl w:ilvl="6" w:tplc="0416000F" w:tentative="1">
      <w:start w:val="1"/>
      <w:numFmt w:val="decimal"/>
      <w:lvlText w:val="%7."/>
      <w:lvlJc w:val="left"/>
      <w:pPr>
        <w:ind w:left="5814" w:hanging="360"/>
      </w:pPr>
    </w:lvl>
    <w:lvl w:ilvl="7" w:tplc="04160019" w:tentative="1">
      <w:start w:val="1"/>
      <w:numFmt w:val="lowerLetter"/>
      <w:lvlText w:val="%8."/>
      <w:lvlJc w:val="left"/>
      <w:pPr>
        <w:ind w:left="6534" w:hanging="360"/>
      </w:pPr>
    </w:lvl>
    <w:lvl w:ilvl="8" w:tplc="0416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C89"/>
    <w:rsid w:val="000100AC"/>
    <w:rsid w:val="00021422"/>
    <w:rsid w:val="00027A8D"/>
    <w:rsid w:val="00031992"/>
    <w:rsid w:val="00051151"/>
    <w:rsid w:val="00052E9C"/>
    <w:rsid w:val="00053AEA"/>
    <w:rsid w:val="00054A83"/>
    <w:rsid w:val="00076DCF"/>
    <w:rsid w:val="0007773F"/>
    <w:rsid w:val="00077A75"/>
    <w:rsid w:val="00077D1B"/>
    <w:rsid w:val="000839E3"/>
    <w:rsid w:val="000916E4"/>
    <w:rsid w:val="000953C5"/>
    <w:rsid w:val="00095C62"/>
    <w:rsid w:val="000A011B"/>
    <w:rsid w:val="000A1E00"/>
    <w:rsid w:val="000A2C1B"/>
    <w:rsid w:val="000A33AD"/>
    <w:rsid w:val="000A3D28"/>
    <w:rsid w:val="000A4CDD"/>
    <w:rsid w:val="000A57FC"/>
    <w:rsid w:val="000B665F"/>
    <w:rsid w:val="000B6761"/>
    <w:rsid w:val="000C1565"/>
    <w:rsid w:val="000C2126"/>
    <w:rsid w:val="000C4259"/>
    <w:rsid w:val="000D6111"/>
    <w:rsid w:val="000D7AF4"/>
    <w:rsid w:val="000E1B36"/>
    <w:rsid w:val="000E40EE"/>
    <w:rsid w:val="000E444E"/>
    <w:rsid w:val="000E577E"/>
    <w:rsid w:val="000E613C"/>
    <w:rsid w:val="000F670A"/>
    <w:rsid w:val="000F7F11"/>
    <w:rsid w:val="0010086B"/>
    <w:rsid w:val="00115225"/>
    <w:rsid w:val="001167A7"/>
    <w:rsid w:val="0012283F"/>
    <w:rsid w:val="00122A2B"/>
    <w:rsid w:val="0012465F"/>
    <w:rsid w:val="00130F0D"/>
    <w:rsid w:val="00131527"/>
    <w:rsid w:val="00132FE8"/>
    <w:rsid w:val="001344AA"/>
    <w:rsid w:val="00136B32"/>
    <w:rsid w:val="001374B7"/>
    <w:rsid w:val="00143A2B"/>
    <w:rsid w:val="00143AC9"/>
    <w:rsid w:val="001451EA"/>
    <w:rsid w:val="0014704E"/>
    <w:rsid w:val="00153CE8"/>
    <w:rsid w:val="001548A3"/>
    <w:rsid w:val="00162C98"/>
    <w:rsid w:val="00167A10"/>
    <w:rsid w:val="0017008F"/>
    <w:rsid w:val="00171A7C"/>
    <w:rsid w:val="001823E1"/>
    <w:rsid w:val="001901A0"/>
    <w:rsid w:val="00192E76"/>
    <w:rsid w:val="0019542C"/>
    <w:rsid w:val="001A4EEE"/>
    <w:rsid w:val="001B449A"/>
    <w:rsid w:val="001C3151"/>
    <w:rsid w:val="001C4A3A"/>
    <w:rsid w:val="001C4D89"/>
    <w:rsid w:val="001D2220"/>
    <w:rsid w:val="001F066C"/>
    <w:rsid w:val="001F471F"/>
    <w:rsid w:val="001F47CE"/>
    <w:rsid w:val="001F7DB8"/>
    <w:rsid w:val="00201BF1"/>
    <w:rsid w:val="00203467"/>
    <w:rsid w:val="002058DF"/>
    <w:rsid w:val="002149BA"/>
    <w:rsid w:val="002277AB"/>
    <w:rsid w:val="002314BE"/>
    <w:rsid w:val="0023757D"/>
    <w:rsid w:val="00241CE5"/>
    <w:rsid w:val="0024418E"/>
    <w:rsid w:val="002562EC"/>
    <w:rsid w:val="00267032"/>
    <w:rsid w:val="00270136"/>
    <w:rsid w:val="0027087D"/>
    <w:rsid w:val="002747C1"/>
    <w:rsid w:val="002763D0"/>
    <w:rsid w:val="00276EEE"/>
    <w:rsid w:val="00286AE2"/>
    <w:rsid w:val="00287364"/>
    <w:rsid w:val="0028766C"/>
    <w:rsid w:val="00291382"/>
    <w:rsid w:val="00292858"/>
    <w:rsid w:val="00294121"/>
    <w:rsid w:val="00295FA9"/>
    <w:rsid w:val="00296C58"/>
    <w:rsid w:val="002A1937"/>
    <w:rsid w:val="002A47AD"/>
    <w:rsid w:val="002A546E"/>
    <w:rsid w:val="002A7905"/>
    <w:rsid w:val="002B0D0E"/>
    <w:rsid w:val="002B714C"/>
    <w:rsid w:val="002C0B07"/>
    <w:rsid w:val="002D00CF"/>
    <w:rsid w:val="002D0FA3"/>
    <w:rsid w:val="002D1EB7"/>
    <w:rsid w:val="002D4214"/>
    <w:rsid w:val="002E0304"/>
    <w:rsid w:val="002E3A2C"/>
    <w:rsid w:val="002F0BAB"/>
    <w:rsid w:val="002F16E1"/>
    <w:rsid w:val="002F329C"/>
    <w:rsid w:val="00300177"/>
    <w:rsid w:val="00311C1D"/>
    <w:rsid w:val="00313995"/>
    <w:rsid w:val="00315213"/>
    <w:rsid w:val="00324DB1"/>
    <w:rsid w:val="00324F59"/>
    <w:rsid w:val="00327318"/>
    <w:rsid w:val="00330D03"/>
    <w:rsid w:val="00331446"/>
    <w:rsid w:val="00332C62"/>
    <w:rsid w:val="00337D89"/>
    <w:rsid w:val="0034154F"/>
    <w:rsid w:val="0034182B"/>
    <w:rsid w:val="00344D36"/>
    <w:rsid w:val="003549B1"/>
    <w:rsid w:val="00360B09"/>
    <w:rsid w:val="00360E1C"/>
    <w:rsid w:val="00371A29"/>
    <w:rsid w:val="00371C78"/>
    <w:rsid w:val="003747AB"/>
    <w:rsid w:val="00380AC7"/>
    <w:rsid w:val="00383B45"/>
    <w:rsid w:val="00385A8D"/>
    <w:rsid w:val="00397D0C"/>
    <w:rsid w:val="003B24DD"/>
    <w:rsid w:val="003C6B20"/>
    <w:rsid w:val="003D62AC"/>
    <w:rsid w:val="003E4ACD"/>
    <w:rsid w:val="003E5232"/>
    <w:rsid w:val="003E6DF5"/>
    <w:rsid w:val="003E6E56"/>
    <w:rsid w:val="003F19C9"/>
    <w:rsid w:val="003F6D9F"/>
    <w:rsid w:val="004047BF"/>
    <w:rsid w:val="00405B94"/>
    <w:rsid w:val="0041014A"/>
    <w:rsid w:val="0041489B"/>
    <w:rsid w:val="00416E4E"/>
    <w:rsid w:val="0042013A"/>
    <w:rsid w:val="004212AD"/>
    <w:rsid w:val="00433A3B"/>
    <w:rsid w:val="00433D85"/>
    <w:rsid w:val="00434D4C"/>
    <w:rsid w:val="004428AD"/>
    <w:rsid w:val="004433B8"/>
    <w:rsid w:val="004449ED"/>
    <w:rsid w:val="00447FF0"/>
    <w:rsid w:val="0045294E"/>
    <w:rsid w:val="00455287"/>
    <w:rsid w:val="00456465"/>
    <w:rsid w:val="00472688"/>
    <w:rsid w:val="00474F05"/>
    <w:rsid w:val="004776AE"/>
    <w:rsid w:val="004778AE"/>
    <w:rsid w:val="00483C36"/>
    <w:rsid w:val="0048448E"/>
    <w:rsid w:val="00485C07"/>
    <w:rsid w:val="0049336F"/>
    <w:rsid w:val="00494CD3"/>
    <w:rsid w:val="00497189"/>
    <w:rsid w:val="004A4FB8"/>
    <w:rsid w:val="004A5650"/>
    <w:rsid w:val="004A71A1"/>
    <w:rsid w:val="004B66C0"/>
    <w:rsid w:val="004B6B84"/>
    <w:rsid w:val="004C312C"/>
    <w:rsid w:val="004C4657"/>
    <w:rsid w:val="004D3190"/>
    <w:rsid w:val="004E5719"/>
    <w:rsid w:val="004F3B81"/>
    <w:rsid w:val="004F5CC0"/>
    <w:rsid w:val="00500B19"/>
    <w:rsid w:val="005054FA"/>
    <w:rsid w:val="005119F1"/>
    <w:rsid w:val="00516BF8"/>
    <w:rsid w:val="00532857"/>
    <w:rsid w:val="005350D0"/>
    <w:rsid w:val="00547E71"/>
    <w:rsid w:val="00552523"/>
    <w:rsid w:val="00552CAF"/>
    <w:rsid w:val="00553A8A"/>
    <w:rsid w:val="00560ADC"/>
    <w:rsid w:val="00563303"/>
    <w:rsid w:val="00565045"/>
    <w:rsid w:val="00574DC1"/>
    <w:rsid w:val="00584B04"/>
    <w:rsid w:val="0058639A"/>
    <w:rsid w:val="0059717C"/>
    <w:rsid w:val="005A27EE"/>
    <w:rsid w:val="005A2C64"/>
    <w:rsid w:val="005B73AE"/>
    <w:rsid w:val="005C16AB"/>
    <w:rsid w:val="005D0055"/>
    <w:rsid w:val="005D0AB1"/>
    <w:rsid w:val="005D3904"/>
    <w:rsid w:val="005D5EB1"/>
    <w:rsid w:val="005E1129"/>
    <w:rsid w:val="005E330A"/>
    <w:rsid w:val="005E576D"/>
    <w:rsid w:val="005F1A63"/>
    <w:rsid w:val="005F3F21"/>
    <w:rsid w:val="006066D5"/>
    <w:rsid w:val="00617EE7"/>
    <w:rsid w:val="00633ABB"/>
    <w:rsid w:val="00643230"/>
    <w:rsid w:val="00644723"/>
    <w:rsid w:val="006452BD"/>
    <w:rsid w:val="006530A8"/>
    <w:rsid w:val="006650DC"/>
    <w:rsid w:val="00665584"/>
    <w:rsid w:val="006737B8"/>
    <w:rsid w:val="00674F6C"/>
    <w:rsid w:val="006777E6"/>
    <w:rsid w:val="00680A2A"/>
    <w:rsid w:val="00680A94"/>
    <w:rsid w:val="0069142E"/>
    <w:rsid w:val="00691E75"/>
    <w:rsid w:val="006A6BAA"/>
    <w:rsid w:val="006A7CBA"/>
    <w:rsid w:val="006B49F4"/>
    <w:rsid w:val="006B5330"/>
    <w:rsid w:val="006C0B59"/>
    <w:rsid w:val="006C373E"/>
    <w:rsid w:val="006C7A01"/>
    <w:rsid w:val="006D0BF7"/>
    <w:rsid w:val="006D1823"/>
    <w:rsid w:val="006D3B09"/>
    <w:rsid w:val="006D67AB"/>
    <w:rsid w:val="006E7680"/>
    <w:rsid w:val="006F40BA"/>
    <w:rsid w:val="00702F30"/>
    <w:rsid w:val="00703358"/>
    <w:rsid w:val="007055D0"/>
    <w:rsid w:val="00706BAD"/>
    <w:rsid w:val="007177B0"/>
    <w:rsid w:val="0072216D"/>
    <w:rsid w:val="00724D73"/>
    <w:rsid w:val="007303B2"/>
    <w:rsid w:val="00732617"/>
    <w:rsid w:val="00743802"/>
    <w:rsid w:val="00744B75"/>
    <w:rsid w:val="00745BC1"/>
    <w:rsid w:val="00746432"/>
    <w:rsid w:val="007473E5"/>
    <w:rsid w:val="00747E57"/>
    <w:rsid w:val="0075603A"/>
    <w:rsid w:val="00762450"/>
    <w:rsid w:val="00765039"/>
    <w:rsid w:val="00765719"/>
    <w:rsid w:val="00767C37"/>
    <w:rsid w:val="00771E5F"/>
    <w:rsid w:val="0077247A"/>
    <w:rsid w:val="00787EAD"/>
    <w:rsid w:val="007921BD"/>
    <w:rsid w:val="00795998"/>
    <w:rsid w:val="007A2FF0"/>
    <w:rsid w:val="007B26C1"/>
    <w:rsid w:val="007B2970"/>
    <w:rsid w:val="007C40E0"/>
    <w:rsid w:val="007C5FA9"/>
    <w:rsid w:val="007C765B"/>
    <w:rsid w:val="007D3A85"/>
    <w:rsid w:val="007D4252"/>
    <w:rsid w:val="007D5FAC"/>
    <w:rsid w:val="007E73B0"/>
    <w:rsid w:val="007E77B4"/>
    <w:rsid w:val="007F54A7"/>
    <w:rsid w:val="007F5C7E"/>
    <w:rsid w:val="007F697E"/>
    <w:rsid w:val="00803C2E"/>
    <w:rsid w:val="008133E5"/>
    <w:rsid w:val="00820B5C"/>
    <w:rsid w:val="00823CC4"/>
    <w:rsid w:val="008279A9"/>
    <w:rsid w:val="0083235B"/>
    <w:rsid w:val="00836867"/>
    <w:rsid w:val="00837BAE"/>
    <w:rsid w:val="00840483"/>
    <w:rsid w:val="00841209"/>
    <w:rsid w:val="00851007"/>
    <w:rsid w:val="00856B6A"/>
    <w:rsid w:val="00856DFD"/>
    <w:rsid w:val="00862E70"/>
    <w:rsid w:val="008738E8"/>
    <w:rsid w:val="00885411"/>
    <w:rsid w:val="00896715"/>
    <w:rsid w:val="00896949"/>
    <w:rsid w:val="008A000A"/>
    <w:rsid w:val="008A0542"/>
    <w:rsid w:val="008A21B3"/>
    <w:rsid w:val="008A458E"/>
    <w:rsid w:val="008B5812"/>
    <w:rsid w:val="008B5D0B"/>
    <w:rsid w:val="008B6466"/>
    <w:rsid w:val="008C3F25"/>
    <w:rsid w:val="008E5FFA"/>
    <w:rsid w:val="008F29DA"/>
    <w:rsid w:val="00900142"/>
    <w:rsid w:val="00903B0B"/>
    <w:rsid w:val="009052D3"/>
    <w:rsid w:val="00907E1D"/>
    <w:rsid w:val="00910B84"/>
    <w:rsid w:val="009161AF"/>
    <w:rsid w:val="00921A1F"/>
    <w:rsid w:val="009243D5"/>
    <w:rsid w:val="0093767A"/>
    <w:rsid w:val="00941C78"/>
    <w:rsid w:val="00944A36"/>
    <w:rsid w:val="00947FB7"/>
    <w:rsid w:val="009621A1"/>
    <w:rsid w:val="0096245F"/>
    <w:rsid w:val="009659F2"/>
    <w:rsid w:val="009749A3"/>
    <w:rsid w:val="00980236"/>
    <w:rsid w:val="009828D8"/>
    <w:rsid w:val="0099059A"/>
    <w:rsid w:val="009A0B08"/>
    <w:rsid w:val="009A3911"/>
    <w:rsid w:val="009A42C0"/>
    <w:rsid w:val="009B6132"/>
    <w:rsid w:val="009B7978"/>
    <w:rsid w:val="009B7BD8"/>
    <w:rsid w:val="009C31B3"/>
    <w:rsid w:val="009C4E9B"/>
    <w:rsid w:val="009D30D5"/>
    <w:rsid w:val="009D434B"/>
    <w:rsid w:val="009D479E"/>
    <w:rsid w:val="009D47FA"/>
    <w:rsid w:val="009D6227"/>
    <w:rsid w:val="009E2BA4"/>
    <w:rsid w:val="009F1CE1"/>
    <w:rsid w:val="009F5B61"/>
    <w:rsid w:val="009F64EE"/>
    <w:rsid w:val="00A052B1"/>
    <w:rsid w:val="00A05D3E"/>
    <w:rsid w:val="00A1275D"/>
    <w:rsid w:val="00A14AB0"/>
    <w:rsid w:val="00A2090F"/>
    <w:rsid w:val="00A220B5"/>
    <w:rsid w:val="00A2488B"/>
    <w:rsid w:val="00A25914"/>
    <w:rsid w:val="00A327F5"/>
    <w:rsid w:val="00A40D43"/>
    <w:rsid w:val="00A420D3"/>
    <w:rsid w:val="00A427C5"/>
    <w:rsid w:val="00A443A3"/>
    <w:rsid w:val="00A46A68"/>
    <w:rsid w:val="00A5287A"/>
    <w:rsid w:val="00A57928"/>
    <w:rsid w:val="00A62BC8"/>
    <w:rsid w:val="00A65CEB"/>
    <w:rsid w:val="00A663A9"/>
    <w:rsid w:val="00A67857"/>
    <w:rsid w:val="00A72733"/>
    <w:rsid w:val="00A81C9E"/>
    <w:rsid w:val="00A82B21"/>
    <w:rsid w:val="00A82D29"/>
    <w:rsid w:val="00A84F78"/>
    <w:rsid w:val="00A90A89"/>
    <w:rsid w:val="00A92482"/>
    <w:rsid w:val="00AA51E1"/>
    <w:rsid w:val="00AB328D"/>
    <w:rsid w:val="00AB479F"/>
    <w:rsid w:val="00AC1274"/>
    <w:rsid w:val="00AC4585"/>
    <w:rsid w:val="00AC69C6"/>
    <w:rsid w:val="00AD0FBC"/>
    <w:rsid w:val="00AD1CE7"/>
    <w:rsid w:val="00AD382A"/>
    <w:rsid w:val="00AF6E2C"/>
    <w:rsid w:val="00AF7D6A"/>
    <w:rsid w:val="00B05610"/>
    <w:rsid w:val="00B06057"/>
    <w:rsid w:val="00B0612E"/>
    <w:rsid w:val="00B07720"/>
    <w:rsid w:val="00B1139A"/>
    <w:rsid w:val="00B124E3"/>
    <w:rsid w:val="00B2133C"/>
    <w:rsid w:val="00B255E9"/>
    <w:rsid w:val="00B277D1"/>
    <w:rsid w:val="00B32089"/>
    <w:rsid w:val="00B327D4"/>
    <w:rsid w:val="00B327EE"/>
    <w:rsid w:val="00B46924"/>
    <w:rsid w:val="00B52A0A"/>
    <w:rsid w:val="00B70154"/>
    <w:rsid w:val="00B715FB"/>
    <w:rsid w:val="00B722EA"/>
    <w:rsid w:val="00B72A79"/>
    <w:rsid w:val="00B73E6E"/>
    <w:rsid w:val="00B81C32"/>
    <w:rsid w:val="00B82210"/>
    <w:rsid w:val="00B8517F"/>
    <w:rsid w:val="00B91E5C"/>
    <w:rsid w:val="00BA230C"/>
    <w:rsid w:val="00BA606D"/>
    <w:rsid w:val="00BA7AFA"/>
    <w:rsid w:val="00BB3582"/>
    <w:rsid w:val="00BC18D9"/>
    <w:rsid w:val="00BD2386"/>
    <w:rsid w:val="00BD43C0"/>
    <w:rsid w:val="00BD5443"/>
    <w:rsid w:val="00BE672A"/>
    <w:rsid w:val="00BF1FBD"/>
    <w:rsid w:val="00BF22CB"/>
    <w:rsid w:val="00BF306D"/>
    <w:rsid w:val="00BF34A7"/>
    <w:rsid w:val="00BF522E"/>
    <w:rsid w:val="00BF7619"/>
    <w:rsid w:val="00C001AB"/>
    <w:rsid w:val="00C00D72"/>
    <w:rsid w:val="00C07722"/>
    <w:rsid w:val="00C07853"/>
    <w:rsid w:val="00C13C1E"/>
    <w:rsid w:val="00C15D4D"/>
    <w:rsid w:val="00C16DC3"/>
    <w:rsid w:val="00C21DB4"/>
    <w:rsid w:val="00C23B26"/>
    <w:rsid w:val="00C25EF3"/>
    <w:rsid w:val="00C31049"/>
    <w:rsid w:val="00C3338A"/>
    <w:rsid w:val="00C339D5"/>
    <w:rsid w:val="00C51C89"/>
    <w:rsid w:val="00C53D14"/>
    <w:rsid w:val="00C570C5"/>
    <w:rsid w:val="00C57A22"/>
    <w:rsid w:val="00C62DF9"/>
    <w:rsid w:val="00C643DF"/>
    <w:rsid w:val="00C65B9F"/>
    <w:rsid w:val="00C77BE7"/>
    <w:rsid w:val="00C84742"/>
    <w:rsid w:val="00C87D5E"/>
    <w:rsid w:val="00C909A5"/>
    <w:rsid w:val="00C967F7"/>
    <w:rsid w:val="00CA05AA"/>
    <w:rsid w:val="00CB02F4"/>
    <w:rsid w:val="00CB423B"/>
    <w:rsid w:val="00CC273E"/>
    <w:rsid w:val="00CC282B"/>
    <w:rsid w:val="00CC3D41"/>
    <w:rsid w:val="00CC4035"/>
    <w:rsid w:val="00CC6E8D"/>
    <w:rsid w:val="00CD20D3"/>
    <w:rsid w:val="00CE5BA8"/>
    <w:rsid w:val="00CF691A"/>
    <w:rsid w:val="00D02DA4"/>
    <w:rsid w:val="00D10B0E"/>
    <w:rsid w:val="00D11987"/>
    <w:rsid w:val="00D13025"/>
    <w:rsid w:val="00D206A9"/>
    <w:rsid w:val="00D2332D"/>
    <w:rsid w:val="00D253B1"/>
    <w:rsid w:val="00D2569E"/>
    <w:rsid w:val="00D31BB3"/>
    <w:rsid w:val="00D32608"/>
    <w:rsid w:val="00D3330F"/>
    <w:rsid w:val="00D40B2D"/>
    <w:rsid w:val="00D41D6A"/>
    <w:rsid w:val="00D42341"/>
    <w:rsid w:val="00D4352A"/>
    <w:rsid w:val="00D479EB"/>
    <w:rsid w:val="00D50978"/>
    <w:rsid w:val="00D55626"/>
    <w:rsid w:val="00D647CB"/>
    <w:rsid w:val="00D661AA"/>
    <w:rsid w:val="00D676BC"/>
    <w:rsid w:val="00D6774A"/>
    <w:rsid w:val="00D71347"/>
    <w:rsid w:val="00D7162C"/>
    <w:rsid w:val="00D82065"/>
    <w:rsid w:val="00D84683"/>
    <w:rsid w:val="00D85027"/>
    <w:rsid w:val="00D863C0"/>
    <w:rsid w:val="00D92F7C"/>
    <w:rsid w:val="00DB4AF6"/>
    <w:rsid w:val="00DB6DA6"/>
    <w:rsid w:val="00DC00F5"/>
    <w:rsid w:val="00DC5AE7"/>
    <w:rsid w:val="00DC5C6B"/>
    <w:rsid w:val="00DD0EDF"/>
    <w:rsid w:val="00DD2BB0"/>
    <w:rsid w:val="00DD3F3A"/>
    <w:rsid w:val="00DD44BC"/>
    <w:rsid w:val="00DE2A38"/>
    <w:rsid w:val="00DE3A9A"/>
    <w:rsid w:val="00DE69BE"/>
    <w:rsid w:val="00DF5AC0"/>
    <w:rsid w:val="00DF6562"/>
    <w:rsid w:val="00E02E82"/>
    <w:rsid w:val="00E14E21"/>
    <w:rsid w:val="00E15E0E"/>
    <w:rsid w:val="00E16197"/>
    <w:rsid w:val="00E20AA7"/>
    <w:rsid w:val="00E223CB"/>
    <w:rsid w:val="00E27621"/>
    <w:rsid w:val="00E32D25"/>
    <w:rsid w:val="00E337FC"/>
    <w:rsid w:val="00E34C42"/>
    <w:rsid w:val="00E36577"/>
    <w:rsid w:val="00E43056"/>
    <w:rsid w:val="00E50AB1"/>
    <w:rsid w:val="00E5122E"/>
    <w:rsid w:val="00E551F0"/>
    <w:rsid w:val="00E562F4"/>
    <w:rsid w:val="00E6157E"/>
    <w:rsid w:val="00E618E5"/>
    <w:rsid w:val="00E65DAD"/>
    <w:rsid w:val="00E81EDA"/>
    <w:rsid w:val="00E8798A"/>
    <w:rsid w:val="00E905EB"/>
    <w:rsid w:val="00E91C66"/>
    <w:rsid w:val="00E96501"/>
    <w:rsid w:val="00EA2AD7"/>
    <w:rsid w:val="00EB5AA4"/>
    <w:rsid w:val="00EB696F"/>
    <w:rsid w:val="00EB74A7"/>
    <w:rsid w:val="00ED0592"/>
    <w:rsid w:val="00ED0675"/>
    <w:rsid w:val="00EF035D"/>
    <w:rsid w:val="00EF179B"/>
    <w:rsid w:val="00EF1BED"/>
    <w:rsid w:val="00EF475A"/>
    <w:rsid w:val="00F026E2"/>
    <w:rsid w:val="00F02AF5"/>
    <w:rsid w:val="00F03C46"/>
    <w:rsid w:val="00F03FFF"/>
    <w:rsid w:val="00F04329"/>
    <w:rsid w:val="00F15227"/>
    <w:rsid w:val="00F15837"/>
    <w:rsid w:val="00F177AD"/>
    <w:rsid w:val="00F319FB"/>
    <w:rsid w:val="00F35103"/>
    <w:rsid w:val="00F402CA"/>
    <w:rsid w:val="00F43782"/>
    <w:rsid w:val="00F44DBD"/>
    <w:rsid w:val="00F50D60"/>
    <w:rsid w:val="00F51AD1"/>
    <w:rsid w:val="00F553C6"/>
    <w:rsid w:val="00F6234F"/>
    <w:rsid w:val="00F65CF6"/>
    <w:rsid w:val="00F722C2"/>
    <w:rsid w:val="00F728E0"/>
    <w:rsid w:val="00F8648E"/>
    <w:rsid w:val="00F903C8"/>
    <w:rsid w:val="00F95196"/>
    <w:rsid w:val="00FA3249"/>
    <w:rsid w:val="00FA3953"/>
    <w:rsid w:val="00FB0D23"/>
    <w:rsid w:val="00FB25BC"/>
    <w:rsid w:val="00FB33EA"/>
    <w:rsid w:val="00FC2F69"/>
    <w:rsid w:val="00FC30B4"/>
    <w:rsid w:val="00FD2AF4"/>
    <w:rsid w:val="00FD6F7D"/>
    <w:rsid w:val="00FE214A"/>
    <w:rsid w:val="00FE4CAD"/>
    <w:rsid w:val="00FE7C32"/>
    <w:rsid w:val="00FE7E2E"/>
    <w:rsid w:val="00FF1135"/>
    <w:rsid w:val="00FF1741"/>
    <w:rsid w:val="00FF1752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5:docId w15:val="{6E25E573-BBB1-412B-BBC4-DAD5285C8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5AE7"/>
    <w:rPr>
      <w:sz w:val="24"/>
      <w:szCs w:val="24"/>
    </w:rPr>
  </w:style>
  <w:style w:type="paragraph" w:styleId="Ttulo2">
    <w:name w:val="heading 2"/>
    <w:basedOn w:val="Normal"/>
    <w:next w:val="Normal"/>
    <w:qFormat/>
    <w:rsid w:val="00BF22C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DE2A38"/>
    <w:pPr>
      <w:keepNext/>
      <w:outlineLvl w:val="2"/>
    </w:pPr>
    <w:rPr>
      <w:rFonts w:ascii="Arial Narrow" w:hAnsi="Arial Narrow"/>
      <w:b/>
      <w:bCs/>
      <w:sz w:val="26"/>
      <w:lang w:val="pt-PT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C8474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qFormat/>
    <w:rsid w:val="00BF22CB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A4EE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A4EEE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553A8A"/>
  </w:style>
  <w:style w:type="paragraph" w:styleId="Ttulo">
    <w:name w:val="Title"/>
    <w:basedOn w:val="Normal"/>
    <w:qFormat/>
    <w:rsid w:val="00BF22CB"/>
    <w:pPr>
      <w:widowControl w:val="0"/>
      <w:ind w:left="283" w:hanging="283"/>
      <w:jc w:val="center"/>
    </w:pPr>
    <w:rPr>
      <w:snapToGrid w:val="0"/>
      <w:color w:val="000080"/>
      <w:sz w:val="28"/>
      <w:szCs w:val="20"/>
    </w:rPr>
  </w:style>
  <w:style w:type="paragraph" w:styleId="Textodebalo">
    <w:name w:val="Balloon Text"/>
    <w:basedOn w:val="Normal"/>
    <w:semiHidden/>
    <w:rsid w:val="005E1129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rsid w:val="00771E5F"/>
    <w:pPr>
      <w:widowControl w:val="0"/>
      <w:ind w:left="851" w:hanging="851"/>
      <w:jc w:val="both"/>
    </w:pPr>
    <w:rPr>
      <w:color w:val="000080"/>
      <w:szCs w:val="20"/>
    </w:rPr>
  </w:style>
  <w:style w:type="character" w:customStyle="1" w:styleId="Recuodecorpodetexto2Char">
    <w:name w:val="Recuo de corpo de texto 2 Char"/>
    <w:link w:val="Recuodecorpodetexto2"/>
    <w:rsid w:val="00771E5F"/>
    <w:rPr>
      <w:color w:val="000080"/>
      <w:sz w:val="24"/>
    </w:rPr>
  </w:style>
  <w:style w:type="paragraph" w:customStyle="1" w:styleId="Default">
    <w:name w:val="Default"/>
    <w:rsid w:val="001F471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RodapChar">
    <w:name w:val="Rodapé Char"/>
    <w:link w:val="Rodap"/>
    <w:uiPriority w:val="99"/>
    <w:rsid w:val="00F03FFF"/>
    <w:rPr>
      <w:sz w:val="24"/>
      <w:szCs w:val="24"/>
    </w:rPr>
  </w:style>
  <w:style w:type="paragraph" w:customStyle="1" w:styleId="font8">
    <w:name w:val="font_8"/>
    <w:basedOn w:val="Normal"/>
    <w:rsid w:val="006E7680"/>
    <w:pPr>
      <w:spacing w:before="100" w:beforeAutospacing="1" w:after="100" w:afterAutospacing="1"/>
    </w:pPr>
  </w:style>
  <w:style w:type="paragraph" w:styleId="NormalWeb">
    <w:name w:val="Normal (Web)"/>
    <w:basedOn w:val="Normal"/>
    <w:unhideWhenUsed/>
    <w:rsid w:val="00F02AF5"/>
    <w:pPr>
      <w:spacing w:before="100" w:beforeAutospacing="1" w:after="100" w:afterAutospacing="1"/>
    </w:pPr>
  </w:style>
  <w:style w:type="character" w:styleId="Hyperlink">
    <w:name w:val="Hyperlink"/>
    <w:rsid w:val="000E577E"/>
    <w:rPr>
      <w:color w:val="0000FF"/>
      <w:u w:val="single"/>
    </w:rPr>
  </w:style>
  <w:style w:type="character" w:customStyle="1" w:styleId="Ttulo4Char">
    <w:name w:val="Título 4 Char"/>
    <w:link w:val="Ttulo4"/>
    <w:semiHidden/>
    <w:rsid w:val="00C8474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CabealhoChar">
    <w:name w:val="Cabeçalho Char"/>
    <w:link w:val="Cabealho"/>
    <w:rsid w:val="00C84742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FB0D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4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5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12</Pages>
  <Words>5324</Words>
  <Characters>28752</Characters>
  <Application>Microsoft Office Word</Application>
  <DocSecurity>0</DocSecurity>
  <Lines>239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texto da certidão apresentada pela recorrente não deve ser interpretado da maneira que a mesma deseja, haja vista que se trata de interpretação tendenciosa e conveniente</vt:lpstr>
    </vt:vector>
  </TitlesOfParts>
  <Company>Kille®Soft</Company>
  <LinksUpToDate>false</LinksUpToDate>
  <CharactersWithSpaces>34008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texto da certidão apresentada pela recorrente não deve ser interpretado da maneira que a mesma deseja, haja vista que se trata de interpretação tendenciosa e conveniente</dc:title>
  <dc:creator>Renata</dc:creator>
  <cp:lastModifiedBy>Luiz Gustavo Camarani Toledo</cp:lastModifiedBy>
  <cp:revision>16</cp:revision>
  <cp:lastPrinted>2021-05-31T17:31:00Z</cp:lastPrinted>
  <dcterms:created xsi:type="dcterms:W3CDTF">2021-05-30T18:04:00Z</dcterms:created>
  <dcterms:modified xsi:type="dcterms:W3CDTF">2021-05-31T17:32:00Z</dcterms:modified>
</cp:coreProperties>
</file>